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36"/>
        </w:tabs>
        <w:jc w:val="center"/>
        <w:rPr>
          <w:rFonts w:ascii="宋体" w:hAnsi="宋体"/>
          <w:b/>
          <w:color w:val="auto"/>
          <w:spacing w:val="-20"/>
          <w:sz w:val="30"/>
          <w:szCs w:val="30"/>
          <w:highlight w:val="none"/>
        </w:rPr>
      </w:pPr>
    </w:p>
    <w:p>
      <w:pPr>
        <w:tabs>
          <w:tab w:val="left" w:pos="336"/>
        </w:tabs>
        <w:jc w:val="center"/>
        <w:rPr>
          <w:color w:val="auto"/>
          <w:sz w:val="44"/>
          <w:highlight w:val="none"/>
        </w:rPr>
      </w:pPr>
    </w:p>
    <w:p>
      <w:pPr>
        <w:autoSpaceDE w:val="0"/>
        <w:autoSpaceDN w:val="0"/>
        <w:adjustRightInd w:val="0"/>
        <w:snapToGrid w:val="0"/>
        <w:spacing w:line="360" w:lineRule="auto"/>
        <w:jc w:val="center"/>
        <w:rPr>
          <w:rFonts w:ascii="宋体" w:hAnsi="宋体" w:cs="MingLiU"/>
          <w:b/>
          <w:color w:val="auto"/>
          <w:sz w:val="36"/>
          <w:szCs w:val="36"/>
          <w:highlight w:val="none"/>
        </w:rPr>
      </w:pPr>
    </w:p>
    <w:p>
      <w:pPr>
        <w:autoSpaceDE w:val="0"/>
        <w:autoSpaceDN w:val="0"/>
        <w:adjustRightInd w:val="0"/>
        <w:snapToGrid w:val="0"/>
        <w:spacing w:line="360" w:lineRule="auto"/>
        <w:jc w:val="center"/>
        <w:rPr>
          <w:rFonts w:ascii="宋体" w:hAnsi="宋体" w:cs="MingLiU"/>
          <w:b/>
          <w:color w:val="auto"/>
          <w:sz w:val="36"/>
          <w:szCs w:val="36"/>
          <w:highlight w:val="none"/>
        </w:rPr>
      </w:pPr>
    </w:p>
    <w:p>
      <w:pPr>
        <w:autoSpaceDE w:val="0"/>
        <w:autoSpaceDN w:val="0"/>
        <w:adjustRightInd w:val="0"/>
        <w:snapToGrid w:val="0"/>
        <w:spacing w:line="360" w:lineRule="auto"/>
        <w:jc w:val="center"/>
        <w:rPr>
          <w:rFonts w:ascii="宋体" w:hAnsi="宋体" w:cs="MingLiU"/>
          <w:b/>
          <w:color w:val="auto"/>
          <w:sz w:val="44"/>
          <w:szCs w:val="36"/>
          <w:highlight w:val="none"/>
        </w:rPr>
      </w:pPr>
      <w:r>
        <w:rPr>
          <w:rFonts w:hint="eastAsia" w:ascii="宋体" w:hAnsi="宋体" w:cs="MingLiU"/>
          <w:b/>
          <w:color w:val="auto"/>
          <w:sz w:val="44"/>
          <w:szCs w:val="36"/>
          <w:highlight w:val="none"/>
        </w:rPr>
        <w:t>重汽（重庆）轻型汽车有限公司</w:t>
      </w:r>
    </w:p>
    <w:p>
      <w:pPr>
        <w:autoSpaceDE w:val="0"/>
        <w:autoSpaceDN w:val="0"/>
        <w:adjustRightInd w:val="0"/>
        <w:snapToGrid w:val="0"/>
        <w:spacing w:line="360" w:lineRule="auto"/>
        <w:ind w:firstLine="216" w:firstLineChars="49"/>
        <w:jc w:val="center"/>
        <w:rPr>
          <w:rFonts w:hint="eastAsia" w:ascii="宋体" w:hAnsi="宋体" w:eastAsia="宋体" w:cs="MingLiU"/>
          <w:b/>
          <w:color w:val="auto"/>
          <w:sz w:val="44"/>
          <w:szCs w:val="36"/>
          <w:highlight w:val="none"/>
          <w:lang w:eastAsia="zh-CN"/>
        </w:rPr>
      </w:pPr>
      <w:r>
        <w:rPr>
          <w:rFonts w:hint="eastAsia" w:ascii="宋体" w:hAnsi="宋体" w:cs="MingLiU"/>
          <w:b/>
          <w:color w:val="auto"/>
          <w:sz w:val="44"/>
          <w:szCs w:val="36"/>
          <w:highlight w:val="none"/>
          <w:lang w:eastAsia="zh-CN"/>
        </w:rPr>
        <w:t>2025至2026年度弱电系统维保项目</w:t>
      </w:r>
    </w:p>
    <w:p>
      <w:pPr>
        <w:autoSpaceDE w:val="0"/>
        <w:autoSpaceDN w:val="0"/>
        <w:adjustRightInd w:val="0"/>
        <w:snapToGrid w:val="0"/>
        <w:spacing w:line="360" w:lineRule="auto"/>
        <w:ind w:firstLine="275" w:firstLineChars="49"/>
        <w:jc w:val="center"/>
        <w:rPr>
          <w:rFonts w:ascii="宋体" w:hAnsi="宋体" w:cs="MingLiU"/>
          <w:b/>
          <w:color w:val="auto"/>
          <w:w w:val="99"/>
          <w:sz w:val="30"/>
          <w:szCs w:val="30"/>
          <w:highlight w:val="none"/>
        </w:rPr>
      </w:pPr>
      <w:r>
        <w:rPr>
          <w:rFonts w:hint="eastAsia" w:ascii="黑体" w:eastAsia="黑体" w:cs="MingLiU"/>
          <w:b/>
          <w:color w:val="auto"/>
          <w:sz w:val="56"/>
          <w:szCs w:val="72"/>
          <w:highlight w:val="none"/>
        </w:rPr>
        <w:t>招　标　文　件</w:t>
      </w:r>
    </w:p>
    <w:p>
      <w:pPr>
        <w:tabs>
          <w:tab w:val="left" w:pos="3885"/>
          <w:tab w:val="left" w:pos="6219"/>
        </w:tabs>
        <w:autoSpaceDE w:val="0"/>
        <w:autoSpaceDN w:val="0"/>
        <w:adjustRightInd w:val="0"/>
        <w:snapToGrid w:val="0"/>
        <w:spacing w:line="360" w:lineRule="auto"/>
        <w:ind w:firstLine="390" w:firstLineChars="98"/>
        <w:jc w:val="center"/>
        <w:rPr>
          <w:rFonts w:ascii="宋体" w:hAnsi="宋体" w:cs="MingLiU"/>
          <w:b/>
          <w:color w:val="auto"/>
          <w:w w:val="99"/>
          <w:sz w:val="40"/>
          <w:szCs w:val="30"/>
          <w:highlight w:val="none"/>
        </w:rPr>
      </w:pPr>
    </w:p>
    <w:p>
      <w:pPr>
        <w:tabs>
          <w:tab w:val="left" w:pos="3885"/>
          <w:tab w:val="left" w:pos="6219"/>
        </w:tabs>
        <w:autoSpaceDE w:val="0"/>
        <w:autoSpaceDN w:val="0"/>
        <w:adjustRightInd w:val="0"/>
        <w:snapToGrid w:val="0"/>
        <w:spacing w:line="360" w:lineRule="auto"/>
        <w:ind w:firstLine="390" w:firstLineChars="98"/>
        <w:jc w:val="center"/>
        <w:rPr>
          <w:rFonts w:ascii="宋体" w:hAnsi="宋体" w:cs="MingLiU"/>
          <w:b/>
          <w:color w:val="auto"/>
          <w:w w:val="99"/>
          <w:sz w:val="40"/>
          <w:szCs w:val="30"/>
          <w:highlight w:val="none"/>
        </w:rPr>
      </w:pPr>
    </w:p>
    <w:p>
      <w:pPr>
        <w:tabs>
          <w:tab w:val="left" w:pos="3885"/>
          <w:tab w:val="left" w:pos="6219"/>
        </w:tabs>
        <w:autoSpaceDE w:val="0"/>
        <w:autoSpaceDN w:val="0"/>
        <w:adjustRightInd w:val="0"/>
        <w:snapToGrid w:val="0"/>
        <w:spacing w:line="360" w:lineRule="auto"/>
        <w:ind w:firstLine="390" w:firstLineChars="98"/>
        <w:jc w:val="center"/>
        <w:rPr>
          <w:rFonts w:ascii="宋体" w:hAnsi="宋体" w:cs="MingLiU"/>
          <w:b/>
          <w:color w:val="auto"/>
          <w:w w:val="99"/>
          <w:sz w:val="40"/>
          <w:szCs w:val="30"/>
          <w:highlight w:val="none"/>
        </w:rPr>
      </w:pPr>
    </w:p>
    <w:p>
      <w:pPr>
        <w:tabs>
          <w:tab w:val="left" w:pos="3885"/>
          <w:tab w:val="left" w:pos="6219"/>
        </w:tabs>
        <w:autoSpaceDE w:val="0"/>
        <w:autoSpaceDN w:val="0"/>
        <w:adjustRightInd w:val="0"/>
        <w:snapToGrid w:val="0"/>
        <w:spacing w:line="360" w:lineRule="auto"/>
        <w:ind w:firstLine="390" w:firstLineChars="98"/>
        <w:jc w:val="center"/>
        <w:rPr>
          <w:rFonts w:ascii="宋体" w:hAnsi="宋体" w:cs="MingLiU"/>
          <w:b/>
          <w:color w:val="auto"/>
          <w:w w:val="99"/>
          <w:sz w:val="40"/>
          <w:szCs w:val="30"/>
          <w:highlight w:val="none"/>
        </w:rPr>
      </w:pPr>
    </w:p>
    <w:p>
      <w:pPr>
        <w:tabs>
          <w:tab w:val="left" w:pos="3885"/>
          <w:tab w:val="left" w:pos="6219"/>
        </w:tabs>
        <w:autoSpaceDE w:val="0"/>
        <w:autoSpaceDN w:val="0"/>
        <w:adjustRightInd w:val="0"/>
        <w:snapToGrid w:val="0"/>
        <w:spacing w:line="360" w:lineRule="auto"/>
        <w:ind w:firstLine="390" w:firstLineChars="98"/>
        <w:jc w:val="center"/>
        <w:rPr>
          <w:rFonts w:ascii="宋体" w:hAnsi="宋体" w:cs="MingLiU"/>
          <w:b/>
          <w:color w:val="auto"/>
          <w:w w:val="99"/>
          <w:sz w:val="40"/>
          <w:szCs w:val="30"/>
          <w:highlight w:val="none"/>
        </w:rPr>
      </w:pPr>
    </w:p>
    <w:p>
      <w:pPr>
        <w:tabs>
          <w:tab w:val="left" w:pos="3885"/>
          <w:tab w:val="left" w:pos="6219"/>
        </w:tabs>
        <w:autoSpaceDE w:val="0"/>
        <w:autoSpaceDN w:val="0"/>
        <w:adjustRightInd w:val="0"/>
        <w:snapToGrid w:val="0"/>
        <w:spacing w:line="360" w:lineRule="auto"/>
        <w:ind w:firstLine="390" w:firstLineChars="98"/>
        <w:jc w:val="center"/>
        <w:rPr>
          <w:rFonts w:ascii="宋体" w:hAnsi="宋体" w:cs="MingLiU"/>
          <w:b/>
          <w:color w:val="auto"/>
          <w:w w:val="99"/>
          <w:sz w:val="40"/>
          <w:szCs w:val="30"/>
          <w:highlight w:val="none"/>
        </w:rPr>
      </w:pPr>
    </w:p>
    <w:p>
      <w:pPr>
        <w:tabs>
          <w:tab w:val="left" w:pos="3885"/>
          <w:tab w:val="left" w:pos="6219"/>
        </w:tabs>
        <w:autoSpaceDE w:val="0"/>
        <w:autoSpaceDN w:val="0"/>
        <w:adjustRightInd w:val="0"/>
        <w:snapToGrid w:val="0"/>
        <w:spacing w:line="360" w:lineRule="auto"/>
        <w:ind w:firstLine="292" w:firstLineChars="98"/>
        <w:jc w:val="center"/>
        <w:rPr>
          <w:rFonts w:ascii="宋体" w:hAnsi="宋体" w:cs="MingLiU"/>
          <w:b/>
          <w:color w:val="auto"/>
          <w:w w:val="99"/>
          <w:sz w:val="30"/>
          <w:szCs w:val="30"/>
          <w:highlight w:val="none"/>
        </w:rPr>
      </w:pPr>
    </w:p>
    <w:p>
      <w:pPr>
        <w:tabs>
          <w:tab w:val="left" w:pos="3885"/>
          <w:tab w:val="left" w:pos="6219"/>
        </w:tabs>
        <w:autoSpaceDE w:val="0"/>
        <w:autoSpaceDN w:val="0"/>
        <w:adjustRightInd w:val="0"/>
        <w:snapToGrid w:val="0"/>
        <w:spacing w:line="360" w:lineRule="auto"/>
        <w:ind w:firstLine="292" w:firstLineChars="98"/>
        <w:jc w:val="center"/>
        <w:rPr>
          <w:rFonts w:ascii="宋体" w:hAnsi="宋体"/>
          <w:b/>
          <w:color w:val="auto"/>
          <w:sz w:val="30"/>
          <w:szCs w:val="30"/>
          <w:highlight w:val="none"/>
          <w:u w:val="single"/>
        </w:rPr>
      </w:pPr>
      <w:r>
        <w:rPr>
          <w:rFonts w:hint="eastAsia" w:ascii="宋体" w:hAnsi="宋体" w:cs="MingLiU"/>
          <w:b/>
          <w:color w:val="auto"/>
          <w:w w:val="99"/>
          <w:sz w:val="30"/>
          <w:szCs w:val="30"/>
          <w:highlight w:val="none"/>
        </w:rPr>
        <w:t>招   标  人：重汽</w:t>
      </w:r>
      <w:r>
        <w:rPr>
          <w:rFonts w:hint="eastAsia" w:ascii="宋体" w:hAnsi="宋体"/>
          <w:b/>
          <w:color w:val="auto"/>
          <w:sz w:val="30"/>
          <w:szCs w:val="30"/>
          <w:highlight w:val="none"/>
        </w:rPr>
        <w:t>（重庆）轻型汽车有限公司</w:t>
      </w:r>
    </w:p>
    <w:p>
      <w:pPr>
        <w:pStyle w:val="11"/>
        <w:tabs>
          <w:tab w:val="left" w:pos="900"/>
          <w:tab w:val="right" w:leader="dot" w:pos="9100"/>
        </w:tabs>
        <w:spacing w:line="360" w:lineRule="auto"/>
        <w:jc w:val="center"/>
        <w:rPr>
          <w:color w:val="auto"/>
          <w:sz w:val="30"/>
          <w:szCs w:val="30"/>
          <w:highlight w:val="none"/>
        </w:rPr>
      </w:pPr>
      <w:r>
        <w:rPr>
          <w:rFonts w:hint="eastAsia"/>
          <w:color w:val="auto"/>
          <w:sz w:val="30"/>
          <w:szCs w:val="30"/>
          <w:highlight w:val="none"/>
        </w:rPr>
        <w:t>二〇二</w:t>
      </w:r>
      <w:r>
        <w:rPr>
          <w:rFonts w:hint="eastAsia"/>
          <w:color w:val="auto"/>
          <w:sz w:val="30"/>
          <w:szCs w:val="30"/>
          <w:highlight w:val="none"/>
          <w:lang w:val="en-US" w:eastAsia="zh-CN"/>
        </w:rPr>
        <w:t>五</w:t>
      </w:r>
      <w:r>
        <w:rPr>
          <w:rFonts w:hint="eastAsia"/>
          <w:color w:val="auto"/>
          <w:sz w:val="30"/>
          <w:szCs w:val="30"/>
          <w:highlight w:val="none"/>
        </w:rPr>
        <w:t>年</w:t>
      </w:r>
      <w:r>
        <w:rPr>
          <w:rFonts w:hint="eastAsia"/>
          <w:color w:val="auto"/>
          <w:sz w:val="30"/>
          <w:szCs w:val="30"/>
          <w:highlight w:val="none"/>
          <w:lang w:val="en-US" w:eastAsia="zh-CN"/>
        </w:rPr>
        <w:t>四</w:t>
      </w:r>
      <w:r>
        <w:rPr>
          <w:rFonts w:hint="eastAsia"/>
          <w:color w:val="auto"/>
          <w:sz w:val="30"/>
          <w:szCs w:val="30"/>
          <w:highlight w:val="none"/>
        </w:rPr>
        <w:t>月</w:t>
      </w:r>
    </w:p>
    <w:p>
      <w:pPr>
        <w:rPr>
          <w:color w:val="auto"/>
          <w:sz w:val="40"/>
          <w:highlight w:val="none"/>
        </w:rPr>
      </w:pPr>
      <w:r>
        <w:rPr>
          <w:color w:val="auto"/>
          <w:highlight w:val="none"/>
        </w:rPr>
        <w:br w:type="page"/>
      </w:r>
    </w:p>
    <w:p>
      <w:pPr>
        <w:pStyle w:val="14"/>
        <w:rPr>
          <w:rFonts w:hint="eastAsia" w:eastAsia="宋体"/>
          <w:color w:val="auto"/>
          <w:highlight w:val="none"/>
          <w:lang w:eastAsia="zh-CN"/>
        </w:rPr>
      </w:pPr>
      <w:bookmarkStart w:id="0" w:name="_Toc15310"/>
      <w:bookmarkStart w:id="1" w:name="_Toc10987"/>
      <w:r>
        <w:rPr>
          <w:rFonts w:hint="eastAsia"/>
          <w:color w:val="auto"/>
          <w:highlight w:val="none"/>
        </w:rPr>
        <w:t>投标</w:t>
      </w:r>
      <w:bookmarkEnd w:id="0"/>
      <w:bookmarkEnd w:id="1"/>
      <w:r>
        <w:rPr>
          <w:rFonts w:hint="eastAsia"/>
          <w:color w:val="auto"/>
          <w:highlight w:val="none"/>
          <w:lang w:val="en-US" w:eastAsia="zh-CN"/>
        </w:rPr>
        <w:t>公告</w:t>
      </w:r>
    </w:p>
    <w:p>
      <w:pPr>
        <w:spacing w:line="480" w:lineRule="auto"/>
        <w:rPr>
          <w:b/>
          <w:color w:val="auto"/>
          <w:sz w:val="28"/>
          <w:szCs w:val="28"/>
          <w:highlight w:val="none"/>
        </w:rPr>
      </w:pPr>
      <w:r>
        <w:rPr>
          <w:rFonts w:hint="eastAsia" w:ascii="宋体" w:hAnsi="宋体"/>
          <w:bCs/>
          <w:color w:val="auto"/>
          <w:sz w:val="28"/>
          <w:szCs w:val="28"/>
          <w:highlight w:val="none"/>
          <w:u w:val="single"/>
        </w:rPr>
        <w:t xml:space="preserve">                   </w:t>
      </w:r>
      <w:r>
        <w:rPr>
          <w:rFonts w:hint="eastAsia" w:ascii="宋体" w:hAnsi="宋体"/>
          <w:b/>
          <w:bCs/>
          <w:color w:val="auto"/>
          <w:sz w:val="28"/>
          <w:szCs w:val="28"/>
          <w:highlight w:val="none"/>
        </w:rPr>
        <w:t>：</w:t>
      </w:r>
    </w:p>
    <w:p>
      <w:pPr>
        <w:autoSpaceDE w:val="0"/>
        <w:autoSpaceDN w:val="0"/>
        <w:adjustRightInd w:val="0"/>
        <w:snapToGrid w:val="0"/>
        <w:spacing w:line="240" w:lineRule="auto"/>
        <w:ind w:firstLine="0" w:firstLineChars="0"/>
        <w:jc w:val="both"/>
        <w:rPr>
          <w:rFonts w:hint="eastAsia" w:ascii="Times New Roman" w:hAnsi="Times New Roman" w:eastAsia="宋体" w:cs="Times New Roman"/>
          <w:b/>
          <w:color w:val="auto"/>
          <w:sz w:val="24"/>
          <w:highlight w:val="none"/>
        </w:rPr>
      </w:pPr>
      <w:r>
        <w:rPr>
          <w:rFonts w:hint="eastAsia"/>
          <w:b w:val="0"/>
          <w:bCs/>
          <w:color w:val="auto"/>
          <w:sz w:val="24"/>
          <w:highlight w:val="none"/>
          <w:lang w:val="en-US" w:eastAsia="zh-CN"/>
        </w:rPr>
        <w:t>一、</w:t>
      </w:r>
      <w:r>
        <w:rPr>
          <w:rFonts w:hint="eastAsia"/>
          <w:b w:val="0"/>
          <w:bCs/>
          <w:color w:val="auto"/>
          <w:sz w:val="24"/>
          <w:highlight w:val="none"/>
        </w:rPr>
        <w:t>重汽（重庆）轻型汽车有限公司“</w:t>
      </w:r>
      <w:r>
        <w:rPr>
          <w:rFonts w:hint="eastAsia"/>
          <w:b w:val="0"/>
          <w:bCs/>
          <w:color w:val="auto"/>
          <w:sz w:val="24"/>
          <w:highlight w:val="none"/>
          <w:lang w:eastAsia="zh-CN"/>
        </w:rPr>
        <w:t>2025至2026年度弱电系统维保项目</w:t>
      </w:r>
      <w:r>
        <w:rPr>
          <w:rFonts w:hint="eastAsia"/>
          <w:b w:val="0"/>
          <w:bCs/>
          <w:color w:val="auto"/>
          <w:sz w:val="24"/>
          <w:highlight w:val="none"/>
        </w:rPr>
        <w:t>”</w:t>
      </w:r>
      <w:r>
        <w:rPr>
          <w:rFonts w:hint="eastAsia"/>
          <w:b w:val="0"/>
          <w:bCs/>
          <w:color w:val="auto"/>
          <w:sz w:val="24"/>
          <w:highlight w:val="none"/>
          <w:lang w:eastAsia="zh-CN"/>
        </w:rPr>
        <w:t>，</w:t>
      </w:r>
      <w:r>
        <w:rPr>
          <w:rFonts w:hint="default" w:ascii="Times New Roman" w:hAnsi="Times New Roman" w:eastAsia="宋体" w:cs="Times New Roman"/>
          <w:b w:val="0"/>
          <w:bCs/>
          <w:color w:val="auto"/>
          <w:sz w:val="24"/>
          <w:highlight w:val="none"/>
        </w:rPr>
        <w:t>项目资金来源为自筹</w:t>
      </w:r>
      <w:r>
        <w:rPr>
          <w:rFonts w:hint="eastAsia" w:ascii="Times New Roman" w:hAnsi="Times New Roman" w:eastAsia="宋体" w:cs="Times New Roman"/>
          <w:b w:val="0"/>
          <w:bCs/>
          <w:color w:val="auto"/>
          <w:sz w:val="24"/>
          <w:highlight w:val="none"/>
          <w:lang w:eastAsia="zh-CN"/>
        </w:rPr>
        <w:t>，</w:t>
      </w:r>
      <w:r>
        <w:rPr>
          <w:rFonts w:hint="eastAsia" w:ascii="Times New Roman" w:hAnsi="Times New Roman" w:eastAsia="宋体" w:cs="Times New Roman"/>
          <w:b w:val="0"/>
          <w:bCs/>
          <w:color w:val="auto"/>
          <w:sz w:val="24"/>
          <w:highlight w:val="none"/>
        </w:rPr>
        <w:t>已具备</w:t>
      </w:r>
      <w:r>
        <w:rPr>
          <w:rFonts w:hint="eastAsia" w:ascii="Times New Roman" w:hAnsi="Times New Roman" w:eastAsia="宋体" w:cs="Times New Roman"/>
          <w:b w:val="0"/>
          <w:bCs/>
          <w:color w:val="auto"/>
          <w:sz w:val="24"/>
          <w:highlight w:val="none"/>
          <w:lang w:val="en-US" w:eastAsia="zh-CN"/>
        </w:rPr>
        <w:t>采购</w:t>
      </w:r>
      <w:r>
        <w:rPr>
          <w:rFonts w:hint="eastAsia" w:ascii="Times New Roman" w:hAnsi="Times New Roman" w:eastAsia="宋体" w:cs="Times New Roman"/>
          <w:b w:val="0"/>
          <w:bCs/>
          <w:color w:val="auto"/>
          <w:sz w:val="24"/>
          <w:highlight w:val="none"/>
        </w:rPr>
        <w:t>条件</w:t>
      </w:r>
      <w:r>
        <w:rPr>
          <w:rFonts w:hint="eastAsia" w:ascii="Times New Roman" w:hAnsi="Times New Roman" w:eastAsia="宋体" w:cs="Times New Roman"/>
          <w:b w:val="0"/>
          <w:bCs/>
          <w:color w:val="auto"/>
          <w:sz w:val="24"/>
          <w:highlight w:val="none"/>
          <w:lang w:eastAsia="zh-CN"/>
        </w:rPr>
        <w:t>，</w:t>
      </w:r>
      <w:r>
        <w:rPr>
          <w:rFonts w:hint="eastAsia" w:ascii="Times New Roman" w:hAnsi="Times New Roman" w:eastAsia="宋体" w:cs="Times New Roman"/>
          <w:b w:val="0"/>
          <w:bCs/>
          <w:color w:val="auto"/>
          <w:sz w:val="24"/>
          <w:highlight w:val="none"/>
        </w:rPr>
        <w:t>欢迎合格潜在投标方前来参加投标。</w:t>
      </w:r>
    </w:p>
    <w:p>
      <w:pPr>
        <w:pStyle w:val="3"/>
        <w:rPr>
          <w:color w:val="auto"/>
          <w:highlight w:val="none"/>
        </w:rPr>
      </w:pPr>
      <w:r>
        <w:rPr>
          <w:rFonts w:hint="eastAsia"/>
          <w:color w:val="auto"/>
          <w:highlight w:val="none"/>
        </w:rPr>
        <w:t>二、项目概述</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重汽（重庆）轻型汽车有限公司（以下称</w:t>
      </w:r>
      <w:r>
        <w:rPr>
          <w:rFonts w:hint="eastAsia" w:ascii="宋体" w:hAnsi="宋体"/>
          <w:color w:val="auto"/>
          <w:sz w:val="24"/>
          <w:szCs w:val="24"/>
          <w:highlight w:val="none"/>
          <w:lang w:val="en-US" w:eastAsia="zh-CN"/>
        </w:rPr>
        <w:t>招</w:t>
      </w:r>
      <w:r>
        <w:rPr>
          <w:rFonts w:hint="eastAsia" w:ascii="宋体" w:hAnsi="宋体"/>
          <w:color w:val="auto"/>
          <w:sz w:val="24"/>
          <w:szCs w:val="24"/>
          <w:highlight w:val="none"/>
        </w:rPr>
        <w:t>标人）根据自身的经营需求，对“</w:t>
      </w:r>
      <w:r>
        <w:rPr>
          <w:rFonts w:hint="eastAsia" w:ascii="宋体" w:hAnsi="宋体"/>
          <w:color w:val="auto"/>
          <w:sz w:val="24"/>
          <w:szCs w:val="24"/>
          <w:highlight w:val="none"/>
          <w:lang w:eastAsia="zh-CN"/>
        </w:rPr>
        <w:t>2025至2026年度弱电系统维保项目</w:t>
      </w:r>
      <w:r>
        <w:rPr>
          <w:rFonts w:hint="eastAsia" w:ascii="宋体" w:hAnsi="宋体"/>
          <w:color w:val="auto"/>
          <w:sz w:val="24"/>
          <w:szCs w:val="24"/>
          <w:highlight w:val="none"/>
        </w:rPr>
        <w:t>”进行</w:t>
      </w:r>
      <w:r>
        <w:rPr>
          <w:rFonts w:hint="eastAsia" w:ascii="宋体" w:hAnsi="宋体"/>
          <w:color w:val="auto"/>
          <w:sz w:val="24"/>
          <w:szCs w:val="24"/>
          <w:highlight w:val="none"/>
          <w:lang w:val="en-US" w:eastAsia="zh-CN"/>
        </w:rPr>
        <w:t>公开</w:t>
      </w:r>
      <w:r>
        <w:rPr>
          <w:rFonts w:hint="eastAsia" w:ascii="宋体" w:hAnsi="宋体"/>
          <w:color w:val="auto"/>
          <w:sz w:val="24"/>
          <w:szCs w:val="24"/>
          <w:highlight w:val="none"/>
        </w:rPr>
        <w:t>招标，特寻找合作单位（以下称投标人）完成相关工作。</w:t>
      </w:r>
    </w:p>
    <w:p>
      <w:pPr>
        <w:pStyle w:val="3"/>
        <w:rPr>
          <w:color w:val="auto"/>
          <w:highlight w:val="none"/>
        </w:rPr>
      </w:pPr>
      <w:r>
        <w:rPr>
          <w:rFonts w:hint="eastAsia"/>
          <w:color w:val="auto"/>
          <w:highlight w:val="none"/>
        </w:rPr>
        <w:t>三、招标内容</w:t>
      </w:r>
    </w:p>
    <w:p>
      <w:pPr>
        <w:spacing w:line="360" w:lineRule="auto"/>
        <w:ind w:firstLine="480" w:firstLineChars="200"/>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招标人委托投标人完成“2025至2026年度弱电系统维保项目”，内容概述如下：</w:t>
      </w:r>
    </w:p>
    <w:p>
      <w:pPr>
        <w:numPr>
          <w:ilvl w:val="0"/>
          <w:numId w:val="0"/>
        </w:numPr>
        <w:snapToGrid/>
        <w:spacing w:before="0" w:after="0" w:line="360" w:lineRule="auto"/>
        <w:ind w:firstLine="480" w:firstLineChars="200"/>
        <w:jc w:val="both"/>
        <w:rPr>
          <w:rFonts w:hint="eastAsia" w:ascii="宋体" w:hAnsi="宋体"/>
          <w:color w:val="auto"/>
          <w:sz w:val="24"/>
          <w:szCs w:val="24"/>
          <w:highlight w:val="none"/>
          <w:lang w:val="en-US" w:eastAsia="zh-CN"/>
        </w:rPr>
      </w:pPr>
      <w:r>
        <w:rPr>
          <w:rFonts w:hint="eastAsia" w:ascii="宋体" w:hAnsi="宋体"/>
          <w:color w:val="auto"/>
          <w:sz w:val="24"/>
          <w:szCs w:val="24"/>
          <w:highlight w:val="none"/>
        </w:rPr>
        <w:t>3.1</w:t>
      </w:r>
      <w:r>
        <w:rPr>
          <w:rFonts w:hint="eastAsia" w:ascii="宋体" w:hAnsi="宋体"/>
          <w:color w:val="auto"/>
          <w:sz w:val="24"/>
          <w:szCs w:val="24"/>
          <w:highlight w:val="none"/>
          <w:lang w:val="en-US" w:eastAsia="zh-CN"/>
        </w:rPr>
        <w:t>维保范围：综合布线系统、</w:t>
      </w:r>
      <w:r>
        <w:rPr>
          <w:rFonts w:hint="eastAsia" w:ascii="仿宋_GB2312" w:hAnsi="仿宋_GB2312" w:cs="仿宋_GB2312"/>
          <w:sz w:val="24"/>
          <w:szCs w:val="24"/>
          <w:vertAlign w:val="baseline"/>
          <w:lang w:val="en-US" w:eastAsia="zh-CN"/>
        </w:rPr>
        <w:t>网络设备、</w:t>
      </w:r>
      <w:r>
        <w:rPr>
          <w:rFonts w:hint="eastAsia" w:ascii="宋体" w:hAnsi="宋体"/>
          <w:color w:val="auto"/>
          <w:sz w:val="24"/>
          <w:szCs w:val="24"/>
          <w:highlight w:val="none"/>
          <w:lang w:val="en-US" w:eastAsia="zh-CN"/>
        </w:rPr>
        <w:t>视频监控系统、一卡通系统、广播系统、停车场管理系统、巡更系统。具体维保项目详见附录《项目技术要求》之“维保项目清单”。</w:t>
      </w:r>
    </w:p>
    <w:p>
      <w:pPr>
        <w:numPr>
          <w:ilvl w:val="0"/>
          <w:numId w:val="0"/>
        </w:numPr>
        <w:snapToGrid/>
        <w:spacing w:before="0" w:after="0" w:line="360" w:lineRule="auto"/>
        <w:ind w:firstLine="480" w:firstLineChars="200"/>
        <w:jc w:val="both"/>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3.2现场踏勘：投标人结合本技术要求有意愿参与项目、且在招标人允许的情况下，完成项目现场踏勘及相关信息的收集，投标人对此实地踏勘的结果负责，且自行承担此过程的全部相关费用。招标人对现场踏勘和信息收集给予配合。</w:t>
      </w:r>
    </w:p>
    <w:p>
      <w:pPr>
        <w:numPr>
          <w:ilvl w:val="0"/>
          <w:numId w:val="0"/>
        </w:numPr>
        <w:snapToGrid/>
        <w:spacing w:before="0" w:after="0" w:line="360" w:lineRule="auto"/>
        <w:ind w:firstLine="480" w:firstLineChars="200"/>
        <w:jc w:val="both"/>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3.3</w:t>
      </w:r>
      <w:r>
        <w:rPr>
          <w:rFonts w:hint="eastAsia" w:ascii="宋体" w:hAnsi="宋体"/>
          <w:color w:val="auto"/>
          <w:sz w:val="24"/>
          <w:szCs w:val="24"/>
          <w:highlight w:val="none"/>
        </w:rPr>
        <w:t>维保方式：通过</w:t>
      </w:r>
      <w:r>
        <w:rPr>
          <w:rFonts w:hint="eastAsia" w:ascii="宋体" w:hAnsi="宋体"/>
          <w:color w:val="auto"/>
          <w:sz w:val="24"/>
          <w:szCs w:val="24"/>
          <w:highlight w:val="none"/>
          <w:lang w:val="en-US" w:eastAsia="zh-CN"/>
        </w:rPr>
        <w:t>本</w:t>
      </w:r>
      <w:r>
        <w:rPr>
          <w:rFonts w:hint="eastAsia" w:ascii="宋体" w:hAnsi="宋体"/>
          <w:color w:val="auto"/>
          <w:sz w:val="24"/>
          <w:szCs w:val="24"/>
          <w:highlight w:val="none"/>
        </w:rPr>
        <w:t>招标确定维保</w:t>
      </w:r>
      <w:r>
        <w:rPr>
          <w:rFonts w:hint="eastAsia" w:ascii="宋体" w:hAnsi="宋体"/>
          <w:color w:val="auto"/>
          <w:sz w:val="24"/>
          <w:szCs w:val="24"/>
          <w:highlight w:val="none"/>
          <w:lang w:val="en-US" w:eastAsia="zh-CN"/>
        </w:rPr>
        <w:t>中标方</w:t>
      </w:r>
      <w:r>
        <w:rPr>
          <w:rFonts w:hint="eastAsia" w:ascii="宋体" w:hAnsi="宋体"/>
          <w:color w:val="auto"/>
          <w:sz w:val="24"/>
          <w:szCs w:val="24"/>
          <w:highlight w:val="none"/>
        </w:rPr>
        <w:t>，并核定各系统运维需要的设备、设施、配件、材料、工具、人工的采购单价，按照确定的维护项目单价与</w:t>
      </w:r>
      <w:r>
        <w:rPr>
          <w:rFonts w:hint="eastAsia" w:ascii="宋体" w:hAnsi="宋体"/>
          <w:color w:val="auto"/>
          <w:sz w:val="24"/>
          <w:szCs w:val="24"/>
          <w:highlight w:val="none"/>
          <w:lang w:val="en-US" w:eastAsia="zh-CN"/>
        </w:rPr>
        <w:t>中标方</w:t>
      </w:r>
      <w:r>
        <w:rPr>
          <w:rFonts w:hint="eastAsia" w:ascii="宋体" w:hAnsi="宋体"/>
          <w:color w:val="auto"/>
          <w:sz w:val="24"/>
          <w:szCs w:val="24"/>
          <w:highlight w:val="none"/>
        </w:rPr>
        <w:t>签订维保</w:t>
      </w:r>
      <w:r>
        <w:rPr>
          <w:rFonts w:hint="eastAsia" w:ascii="宋体" w:hAnsi="宋体"/>
          <w:color w:val="auto"/>
          <w:sz w:val="24"/>
          <w:szCs w:val="24"/>
          <w:highlight w:val="none"/>
          <w:lang w:val="en-US" w:eastAsia="zh-CN"/>
        </w:rPr>
        <w:t>开口合同</w:t>
      </w:r>
      <w:r>
        <w:rPr>
          <w:rFonts w:hint="eastAsia" w:ascii="宋体" w:hAnsi="宋体"/>
          <w:color w:val="auto"/>
          <w:sz w:val="24"/>
          <w:szCs w:val="24"/>
          <w:highlight w:val="none"/>
        </w:rPr>
        <w:t>，按维保工作的实际用量进行周期性结算</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每3个月结算一次</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p>
    <w:p>
      <w:pPr>
        <w:numPr>
          <w:ilvl w:val="0"/>
          <w:numId w:val="0"/>
        </w:numPr>
        <w:snapToGrid/>
        <w:spacing w:before="0" w:after="0" w:line="360" w:lineRule="auto"/>
        <w:ind w:firstLine="480" w:firstLineChars="200"/>
        <w:jc w:val="both"/>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3.4维保期限：一年。</w:t>
      </w:r>
    </w:p>
    <w:p>
      <w:pPr>
        <w:pStyle w:val="3"/>
        <w:rPr>
          <w:color w:val="auto"/>
          <w:highlight w:val="none"/>
        </w:rPr>
      </w:pPr>
      <w:r>
        <w:rPr>
          <w:rFonts w:hint="eastAsia"/>
          <w:color w:val="auto"/>
          <w:highlight w:val="none"/>
        </w:rPr>
        <w:t>四、招标文件的获取及开标</w:t>
      </w:r>
    </w:p>
    <w:p>
      <w:pPr>
        <w:tabs>
          <w:tab w:val="left" w:pos="1050"/>
          <w:tab w:val="left" w:pos="1470"/>
        </w:tabs>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投标人于202</w:t>
      </w:r>
      <w:r>
        <w:rPr>
          <w:rFonts w:hint="eastAsia" w:ascii="宋体" w:hAnsi="宋体"/>
          <w:bCs/>
          <w:color w:val="auto"/>
          <w:sz w:val="24"/>
          <w:highlight w:val="none"/>
          <w:lang w:val="en-US" w:eastAsia="zh-CN"/>
        </w:rPr>
        <w:t>5</w:t>
      </w:r>
      <w:r>
        <w:rPr>
          <w:rFonts w:hint="eastAsia" w:ascii="宋体" w:hAnsi="宋体"/>
          <w:bCs/>
          <w:color w:val="auto"/>
          <w:sz w:val="24"/>
          <w:highlight w:val="none"/>
        </w:rPr>
        <w:t>年</w:t>
      </w:r>
      <w:r>
        <w:rPr>
          <w:rFonts w:hint="eastAsia" w:ascii="宋体" w:hAnsi="宋体"/>
          <w:bCs/>
          <w:color w:val="auto"/>
          <w:sz w:val="24"/>
          <w:highlight w:val="none"/>
          <w:lang w:val="en-US" w:eastAsia="zh-CN"/>
        </w:rPr>
        <w:t>5</w:t>
      </w:r>
      <w:r>
        <w:rPr>
          <w:rFonts w:hint="eastAsia" w:ascii="宋体" w:hAnsi="宋体"/>
          <w:bCs/>
          <w:color w:val="auto"/>
          <w:sz w:val="24"/>
          <w:highlight w:val="none"/>
        </w:rPr>
        <w:t>月</w:t>
      </w:r>
      <w:r>
        <w:rPr>
          <w:rFonts w:hint="eastAsia" w:ascii="宋体" w:hAnsi="宋体"/>
          <w:bCs/>
          <w:color w:val="auto"/>
          <w:sz w:val="24"/>
          <w:highlight w:val="none"/>
          <w:lang w:val="en-US" w:eastAsia="zh-CN"/>
        </w:rPr>
        <w:t>8</w:t>
      </w:r>
      <w:r>
        <w:rPr>
          <w:rFonts w:hint="eastAsia" w:ascii="宋体" w:hAnsi="宋体"/>
          <w:bCs/>
          <w:color w:val="auto"/>
          <w:sz w:val="24"/>
          <w:highlight w:val="none"/>
        </w:rPr>
        <w:t>日1</w:t>
      </w:r>
      <w:r>
        <w:rPr>
          <w:rFonts w:hint="eastAsia" w:ascii="宋体" w:hAnsi="宋体"/>
          <w:bCs/>
          <w:color w:val="auto"/>
          <w:sz w:val="24"/>
          <w:highlight w:val="none"/>
          <w:lang w:val="en-US" w:eastAsia="zh-CN"/>
        </w:rPr>
        <w:t>5</w:t>
      </w:r>
      <w:r>
        <w:rPr>
          <w:rFonts w:hint="eastAsia" w:ascii="宋体" w:hAnsi="宋体"/>
          <w:bCs/>
          <w:color w:val="auto"/>
          <w:sz w:val="24"/>
          <w:highlight w:val="none"/>
        </w:rPr>
        <w:t>:00前，按照</w:t>
      </w:r>
      <w:r>
        <w:rPr>
          <w:rFonts w:hint="eastAsia" w:ascii="宋体" w:hAnsi="宋体"/>
          <w:bCs/>
          <w:color w:val="auto"/>
          <w:sz w:val="24"/>
          <w:highlight w:val="none"/>
          <w:lang w:val="en-US" w:eastAsia="zh-CN"/>
        </w:rPr>
        <w:t>下列</w:t>
      </w:r>
      <w:r>
        <w:rPr>
          <w:rFonts w:hint="eastAsia" w:ascii="宋体" w:hAnsi="宋体"/>
          <w:bCs/>
          <w:color w:val="auto"/>
          <w:sz w:val="24"/>
          <w:highlight w:val="none"/>
        </w:rPr>
        <w:t>顺序及所列项相关资料的原件扫描件（要求每一页原文件扫描在一页上，禁止两页或多页合并扫描在一页，扫描文件必须清晰可辨否则影响报名的审核，扫描文件格式为pdf格式，禁止采用压缩文件格式或图片格式，所有扫描文件都集成到1个pdf文档并设置目录）发送至邮箱：zhangyijin@sinotruk.com，并电话联系工作人员查收（张</w:t>
      </w:r>
      <w:r>
        <w:rPr>
          <w:rFonts w:hint="eastAsia" w:ascii="宋体" w:hAnsi="宋体"/>
          <w:bCs/>
          <w:color w:val="auto"/>
          <w:sz w:val="24"/>
          <w:highlight w:val="none"/>
          <w:lang w:val="en-US" w:eastAsia="zh-CN"/>
        </w:rPr>
        <w:t>老师</w:t>
      </w:r>
      <w:r>
        <w:rPr>
          <w:rFonts w:hint="eastAsia" w:ascii="宋体" w:hAnsi="宋体"/>
          <w:bCs/>
          <w:color w:val="auto"/>
          <w:sz w:val="24"/>
          <w:highlight w:val="none"/>
        </w:rPr>
        <w:t>，联系电话：13677683722），邮件名格式为：***公司（五个字以内公司简称）-项目名称-报名资料。同时必须在邮件中以文字方式提供投标单位全称、投标授权人姓名、联系方式（固定电话、手机、电子邮箱）。</w:t>
      </w:r>
    </w:p>
    <w:p>
      <w:pPr>
        <w:spacing w:line="360" w:lineRule="auto"/>
        <w:ind w:firstLine="480" w:firstLineChars="200"/>
        <w:rPr>
          <w:rFonts w:ascii="宋体" w:hAnsi="宋体" w:cs="宋体"/>
          <w:color w:val="auto"/>
          <w:sz w:val="24"/>
          <w:szCs w:val="24"/>
          <w:highlight w:val="none"/>
        </w:rPr>
      </w:pPr>
      <w:r>
        <w:rPr>
          <w:color w:val="auto"/>
          <w:sz w:val="24"/>
          <w:highlight w:val="none"/>
        </w:rPr>
        <w:t>4.</w:t>
      </w:r>
      <w:r>
        <w:rPr>
          <w:rFonts w:hint="eastAsia"/>
          <w:color w:val="auto"/>
          <w:sz w:val="24"/>
          <w:highlight w:val="none"/>
        </w:rPr>
        <w:t>1.</w:t>
      </w:r>
      <w:r>
        <w:rPr>
          <w:color w:val="auto"/>
          <w:sz w:val="24"/>
          <w:highlight w:val="none"/>
        </w:rPr>
        <w:t>1</w:t>
      </w:r>
      <w:r>
        <w:rPr>
          <w:rFonts w:hint="eastAsia"/>
          <w:color w:val="auto"/>
          <w:sz w:val="24"/>
          <w:highlight w:val="none"/>
        </w:rPr>
        <w:t>投标确认书、</w:t>
      </w:r>
      <w:r>
        <w:rPr>
          <w:rFonts w:hint="eastAsia" w:ascii="宋体" w:hAnsi="宋体" w:cs="宋体"/>
          <w:color w:val="auto"/>
          <w:sz w:val="24"/>
          <w:szCs w:val="24"/>
          <w:highlight w:val="none"/>
        </w:rPr>
        <w:t>营业执照</w:t>
      </w:r>
      <w:r>
        <w:rPr>
          <w:rFonts w:hint="eastAsia" w:ascii="宋体" w:hAnsi="宋体" w:cs="宋体"/>
          <w:color w:val="auto"/>
          <w:sz w:val="24"/>
          <w:highlight w:val="none"/>
          <w:lang w:val="en-US" w:eastAsia="zh-CN"/>
        </w:rPr>
        <w:t>（复印件</w:t>
      </w:r>
      <w:r>
        <w:rPr>
          <w:rFonts w:hint="eastAsia"/>
          <w:color w:val="auto"/>
          <w:sz w:val="24"/>
          <w:highlight w:val="none"/>
        </w:rPr>
        <w:t>加盖公章</w:t>
      </w:r>
      <w:r>
        <w:rPr>
          <w:rFonts w:hint="eastAsia"/>
          <w:color w:val="auto"/>
          <w:sz w:val="24"/>
          <w:highlight w:val="none"/>
          <w:lang w:eastAsia="zh-CN"/>
        </w:rPr>
        <w:t>）；</w:t>
      </w:r>
    </w:p>
    <w:p>
      <w:pPr>
        <w:spacing w:line="360" w:lineRule="auto"/>
        <w:ind w:firstLine="480" w:firstLineChars="200"/>
        <w:rPr>
          <w:color w:val="auto"/>
          <w:sz w:val="24"/>
          <w:highlight w:val="none"/>
        </w:rPr>
      </w:pPr>
      <w:r>
        <w:rPr>
          <w:rFonts w:hint="eastAsia"/>
          <w:color w:val="auto"/>
          <w:sz w:val="24"/>
          <w:highlight w:val="none"/>
        </w:rPr>
        <w:t xml:space="preserve">4.1.2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 </w:t>
      </w:r>
    </w:p>
    <w:p>
      <w:pPr>
        <w:spacing w:line="360" w:lineRule="auto"/>
        <w:ind w:firstLine="480" w:firstLineChars="200"/>
        <w:rPr>
          <w:color w:val="auto"/>
          <w:sz w:val="24"/>
          <w:highlight w:val="none"/>
        </w:rPr>
      </w:pPr>
      <w:r>
        <w:rPr>
          <w:rFonts w:hint="eastAsia"/>
          <w:color w:val="auto"/>
          <w:sz w:val="24"/>
          <w:highlight w:val="none"/>
        </w:rPr>
        <w:t xml:space="preserve">4.1.3企业最近半年完税证明、信用证明材料（中国人民银行信用代码证+征信报告）； </w:t>
      </w:r>
    </w:p>
    <w:p>
      <w:pPr>
        <w:spacing w:line="360" w:lineRule="auto"/>
        <w:ind w:firstLine="480" w:firstLineChars="200"/>
        <w:rPr>
          <w:color w:val="auto"/>
          <w:sz w:val="24"/>
          <w:highlight w:val="none"/>
        </w:rPr>
      </w:pPr>
      <w:r>
        <w:rPr>
          <w:rFonts w:hint="eastAsia"/>
          <w:color w:val="auto"/>
          <w:sz w:val="24"/>
          <w:highlight w:val="none"/>
        </w:rPr>
        <w:t xml:space="preserve">4.1.4年度纳税信用评价信息（可从电子税务局查询截图，需加盖公章）； </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color w:val="auto"/>
          <w:sz w:val="24"/>
          <w:highlight w:val="none"/>
        </w:rPr>
        <w:t>4.1.5企业对外担保说明（写明贵单位对外有无对外担保和质押业务，需加盖公章）</w:t>
      </w:r>
      <w:r>
        <w:rPr>
          <w:rFonts w:hint="eastAsia"/>
          <w:color w:val="auto"/>
          <w:sz w:val="24"/>
          <w:highlight w:val="none"/>
          <w:lang w:eastAsia="zh-CN"/>
        </w:rPr>
        <w:t>；</w:t>
      </w:r>
    </w:p>
    <w:p>
      <w:pPr>
        <w:spacing w:line="360" w:lineRule="auto"/>
        <w:ind w:firstLine="480" w:firstLineChars="200"/>
        <w:rPr>
          <w:rFonts w:hint="eastAsia" w:eastAsia="宋体"/>
          <w:color w:val="auto"/>
          <w:sz w:val="24"/>
          <w:highlight w:val="none"/>
          <w:lang w:eastAsia="zh-CN"/>
        </w:rPr>
      </w:pPr>
      <w:r>
        <w:rPr>
          <w:color w:val="auto"/>
          <w:sz w:val="24"/>
          <w:highlight w:val="none"/>
        </w:rPr>
        <w:t>4.</w:t>
      </w:r>
      <w:r>
        <w:rPr>
          <w:rFonts w:hint="eastAsia"/>
          <w:color w:val="auto"/>
          <w:sz w:val="24"/>
          <w:highlight w:val="none"/>
        </w:rPr>
        <w:t>1.6</w:t>
      </w:r>
      <w:r>
        <w:rPr>
          <w:color w:val="auto"/>
          <w:sz w:val="24"/>
          <w:highlight w:val="none"/>
        </w:rPr>
        <w:t>法定代表人身份证明书</w:t>
      </w:r>
      <w:r>
        <w:rPr>
          <w:rFonts w:hint="eastAsia"/>
          <w:color w:val="auto"/>
          <w:sz w:val="24"/>
          <w:highlight w:val="none"/>
        </w:rPr>
        <w:t>（附件一）</w:t>
      </w:r>
      <w:r>
        <w:rPr>
          <w:color w:val="auto"/>
          <w:sz w:val="24"/>
          <w:highlight w:val="none"/>
        </w:rPr>
        <w:t>、法定代表人授权委托书</w:t>
      </w:r>
      <w:r>
        <w:rPr>
          <w:rFonts w:hint="eastAsia"/>
          <w:color w:val="auto"/>
          <w:sz w:val="24"/>
          <w:highlight w:val="none"/>
        </w:rPr>
        <w:t>（附件二）</w:t>
      </w:r>
      <w:r>
        <w:rPr>
          <w:rFonts w:hint="eastAsia"/>
          <w:color w:val="auto"/>
          <w:sz w:val="24"/>
          <w:highlight w:val="none"/>
          <w:lang w:eastAsia="zh-CN"/>
        </w:rPr>
        <w:t>；</w:t>
      </w:r>
    </w:p>
    <w:p>
      <w:pPr>
        <w:spacing w:line="360" w:lineRule="auto"/>
        <w:ind w:firstLine="480" w:firstLineChars="200"/>
        <w:rPr>
          <w:rFonts w:hint="eastAsia" w:ascii="宋体" w:hAnsi="宋体" w:cs="宋体"/>
          <w:color w:val="auto"/>
          <w:sz w:val="24"/>
          <w:highlight w:val="none"/>
          <w:lang w:val="en-US" w:eastAsia="zh-CN"/>
        </w:rPr>
      </w:pPr>
      <w:r>
        <w:rPr>
          <w:rFonts w:hint="eastAsia"/>
          <w:color w:val="auto"/>
          <w:sz w:val="24"/>
          <w:highlight w:val="none"/>
          <w:lang w:val="en-US" w:eastAsia="zh-CN"/>
        </w:rPr>
        <w:t>4.1.7资质：</w:t>
      </w:r>
      <w:r>
        <w:rPr>
          <w:rFonts w:hint="eastAsia" w:ascii="宋体" w:hAnsi="宋体" w:cs="宋体"/>
          <w:color w:val="auto"/>
          <w:sz w:val="24"/>
          <w:highlight w:val="none"/>
          <w:lang w:val="en-US" w:eastAsia="zh-CN"/>
        </w:rPr>
        <w:t>安防工程从业资质二级以上（复印件</w:t>
      </w:r>
      <w:r>
        <w:rPr>
          <w:rFonts w:hint="eastAsia"/>
          <w:color w:val="auto"/>
          <w:sz w:val="24"/>
          <w:highlight w:val="none"/>
        </w:rPr>
        <w:t>加盖公章</w:t>
      </w:r>
      <w:r>
        <w:rPr>
          <w:rFonts w:hint="eastAsia"/>
          <w:color w:val="auto"/>
          <w:sz w:val="24"/>
          <w:highlight w:val="none"/>
          <w:lang w:eastAsia="zh-CN"/>
        </w:rPr>
        <w:t>）</w:t>
      </w:r>
      <w:r>
        <w:rPr>
          <w:rFonts w:hint="eastAsia" w:ascii="宋体" w:hAnsi="宋体" w:cs="宋体"/>
          <w:color w:val="auto"/>
          <w:sz w:val="24"/>
          <w:highlight w:val="none"/>
          <w:lang w:val="en-US" w:eastAsia="zh-CN"/>
        </w:rPr>
        <w:t>；</w:t>
      </w:r>
    </w:p>
    <w:p>
      <w:pPr>
        <w:spacing w:line="360" w:lineRule="auto"/>
        <w:ind w:firstLine="480" w:firstLineChars="200"/>
        <w:rPr>
          <w:rFonts w:hint="default"/>
          <w:color w:val="auto"/>
          <w:sz w:val="24"/>
          <w:highlight w:val="none"/>
          <w:lang w:val="en-US" w:eastAsia="zh-CN"/>
        </w:rPr>
      </w:pPr>
      <w:r>
        <w:rPr>
          <w:rFonts w:hint="eastAsia"/>
          <w:color w:val="auto"/>
          <w:sz w:val="24"/>
          <w:highlight w:val="none"/>
          <w:lang w:val="en-US" w:eastAsia="zh-CN"/>
        </w:rPr>
        <w:t>4.1.8行业业绩：</w:t>
      </w:r>
      <w:r>
        <w:rPr>
          <w:rFonts w:hint="eastAsia" w:ascii="宋体" w:hAnsi="宋体" w:cs="宋体"/>
          <w:color w:val="auto"/>
          <w:sz w:val="24"/>
          <w:highlight w:val="none"/>
          <w:lang w:val="en-US" w:eastAsia="zh-CN"/>
        </w:rPr>
        <w:t>近三年至少三个同类项目案例（合同原件复印件</w:t>
      </w:r>
      <w:r>
        <w:rPr>
          <w:rFonts w:hint="eastAsia"/>
          <w:color w:val="auto"/>
          <w:sz w:val="24"/>
          <w:highlight w:val="none"/>
        </w:rPr>
        <w:t>加盖公章</w:t>
      </w:r>
      <w:r>
        <w:rPr>
          <w:rFonts w:hint="eastAsia" w:ascii="宋体" w:hAnsi="宋体" w:cs="宋体"/>
          <w:color w:val="auto"/>
          <w:sz w:val="24"/>
          <w:highlight w:val="none"/>
          <w:lang w:val="en-US" w:eastAsia="zh-CN"/>
        </w:rPr>
        <w:t>）；</w:t>
      </w:r>
    </w:p>
    <w:p>
      <w:pPr>
        <w:spacing w:line="360" w:lineRule="auto"/>
        <w:ind w:firstLine="480" w:firstLineChars="200"/>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Times New Roman" w:hAnsi="Times New Roman" w:eastAsia="宋体" w:cs="Times New Roman"/>
          <w:b w:val="0"/>
          <w:bCs w:val="0"/>
          <w:color w:val="auto"/>
          <w:kern w:val="2"/>
          <w:sz w:val="24"/>
          <w:szCs w:val="21"/>
          <w:highlight w:val="none"/>
          <w:lang w:val="en-US" w:eastAsia="zh-CN" w:bidi="ar-SA"/>
        </w:rPr>
        <w:t>4.1.</w:t>
      </w:r>
      <w:r>
        <w:rPr>
          <w:rFonts w:hint="eastAsia" w:cs="Times New Roman"/>
          <w:b w:val="0"/>
          <w:bCs w:val="0"/>
          <w:color w:val="auto"/>
          <w:kern w:val="2"/>
          <w:sz w:val="24"/>
          <w:szCs w:val="21"/>
          <w:highlight w:val="none"/>
          <w:lang w:val="en-US" w:eastAsia="zh-CN" w:bidi="ar-SA"/>
        </w:rPr>
        <w:t>9</w:t>
      </w:r>
      <w:r>
        <w:rPr>
          <w:rFonts w:hint="eastAsia" w:ascii="Times New Roman" w:hAnsi="Times New Roman" w:eastAsia="宋体" w:cs="Times New Roman"/>
          <w:b w:val="0"/>
          <w:bCs w:val="0"/>
          <w:color w:val="auto"/>
          <w:kern w:val="2"/>
          <w:sz w:val="24"/>
          <w:szCs w:val="21"/>
          <w:highlight w:val="none"/>
          <w:lang w:val="en-US" w:eastAsia="zh-CN" w:bidi="ar-SA"/>
        </w:rPr>
        <w:t>资源要求：10人以上7*</w:t>
      </w:r>
      <w:r>
        <w:rPr>
          <w:rFonts w:ascii="Times New Roman" w:hAnsi="Times New Roman" w:eastAsia="宋体" w:cs="Times New Roman"/>
          <w:b w:val="0"/>
          <w:bCs w:val="0"/>
          <w:color w:val="auto"/>
          <w:kern w:val="2"/>
          <w:sz w:val="24"/>
          <w:szCs w:val="21"/>
          <w:highlight w:val="none"/>
          <w:lang w:val="en-US" w:eastAsia="zh-CN" w:bidi="ar-SA"/>
        </w:rPr>
        <w:t>24H</w:t>
      </w:r>
      <w:r>
        <w:rPr>
          <w:rFonts w:hint="eastAsia" w:ascii="Times New Roman" w:hAnsi="Times New Roman" w:eastAsia="宋体" w:cs="Times New Roman"/>
          <w:b w:val="0"/>
          <w:bCs w:val="0"/>
          <w:color w:val="auto"/>
          <w:kern w:val="2"/>
          <w:sz w:val="24"/>
          <w:szCs w:val="21"/>
          <w:highlight w:val="none"/>
          <w:lang w:val="en-US" w:eastAsia="zh-CN" w:bidi="ar-SA"/>
        </w:rPr>
        <w:t>人力资源</w:t>
      </w:r>
      <w:r>
        <w:rPr>
          <w:rFonts w:ascii="Times New Roman" w:hAnsi="Times New Roman" w:eastAsia="宋体" w:cs="Times New Roman"/>
          <w:b w:val="0"/>
          <w:bCs w:val="0"/>
          <w:color w:val="auto"/>
          <w:kern w:val="2"/>
          <w:sz w:val="24"/>
          <w:szCs w:val="21"/>
          <w:highlight w:val="none"/>
          <w:lang w:val="en-US" w:eastAsia="zh-CN" w:bidi="ar-SA"/>
        </w:rPr>
        <w:t>，</w:t>
      </w:r>
      <w:r>
        <w:rPr>
          <w:rFonts w:hint="eastAsia" w:ascii="Times New Roman" w:hAnsi="Times New Roman" w:eastAsia="宋体" w:cs="Times New Roman"/>
          <w:b w:val="0"/>
          <w:bCs w:val="0"/>
          <w:color w:val="auto"/>
          <w:kern w:val="2"/>
          <w:sz w:val="24"/>
          <w:szCs w:val="21"/>
          <w:highlight w:val="none"/>
          <w:lang w:val="en-US" w:eastAsia="zh-CN" w:bidi="ar-SA"/>
        </w:rPr>
        <w:t>包括固定的项目管理对接人、</w:t>
      </w:r>
      <w:r>
        <w:rPr>
          <w:rFonts w:hint="eastAsia" w:cs="Times New Roman"/>
          <w:b w:val="0"/>
          <w:bCs w:val="0"/>
          <w:color w:val="auto"/>
          <w:kern w:val="2"/>
          <w:sz w:val="24"/>
          <w:szCs w:val="21"/>
          <w:highlight w:val="none"/>
          <w:lang w:val="en-US" w:eastAsia="zh-CN" w:bidi="ar-SA"/>
        </w:rPr>
        <w:t>有重庆本地的</w:t>
      </w:r>
      <w:r>
        <w:rPr>
          <w:rFonts w:hint="eastAsia" w:ascii="Times New Roman" w:hAnsi="Times New Roman" w:eastAsia="宋体" w:cs="Times New Roman"/>
          <w:b w:val="0"/>
          <w:bCs w:val="0"/>
          <w:color w:val="auto"/>
          <w:kern w:val="2"/>
          <w:sz w:val="24"/>
          <w:szCs w:val="21"/>
          <w:highlight w:val="none"/>
          <w:lang w:val="en-US" w:eastAsia="zh-CN" w:bidi="ar-SA"/>
        </w:rPr>
        <w:t>相关系统维护技术人员、服务投诉渠道等</w:t>
      </w:r>
      <w:r>
        <w:rPr>
          <w:rFonts w:hint="eastAsia" w:cs="Times New Roman"/>
          <w:b w:val="0"/>
          <w:bCs w:val="0"/>
          <w:color w:val="auto"/>
          <w:kern w:val="2"/>
          <w:sz w:val="24"/>
          <w:szCs w:val="21"/>
          <w:highlight w:val="none"/>
          <w:lang w:val="en-US" w:eastAsia="zh-CN" w:bidi="ar-SA"/>
        </w:rPr>
        <w:t>，需提供</w:t>
      </w:r>
      <w:r>
        <w:rPr>
          <w:rFonts w:hint="eastAsia"/>
          <w:color w:val="auto"/>
          <w:sz w:val="24"/>
          <w:highlight w:val="none"/>
          <w:lang w:val="en-US" w:eastAsia="zh-CN"/>
        </w:rPr>
        <w:t>公司组织架构</w:t>
      </w:r>
      <w:r>
        <w:rPr>
          <w:rFonts w:hint="eastAsia" w:cs="Times New Roman"/>
          <w:b w:val="0"/>
          <w:bCs w:val="0"/>
          <w:color w:val="auto"/>
          <w:kern w:val="2"/>
          <w:sz w:val="24"/>
          <w:szCs w:val="21"/>
          <w:highlight w:val="none"/>
          <w:lang w:val="en-US" w:eastAsia="zh-CN" w:bidi="ar-SA"/>
        </w:rPr>
        <w:t>、本项目投入人员清单（格式自行设计）、社保缴费清单</w:t>
      </w:r>
      <w:r>
        <w:rPr>
          <w:rFonts w:hint="eastAsia"/>
          <w:color w:val="auto"/>
          <w:sz w:val="24"/>
          <w:highlight w:val="none"/>
        </w:rPr>
        <w:t>加盖公章</w:t>
      </w:r>
      <w:r>
        <w:rPr>
          <w:rFonts w:hint="eastAsia" w:ascii="Times New Roman" w:hAnsi="Times New Roman" w:eastAsia="宋体" w:cs="Times New Roman"/>
          <w:b w:val="0"/>
          <w:bCs w:val="0"/>
          <w:color w:val="auto"/>
          <w:kern w:val="2"/>
          <w:sz w:val="24"/>
          <w:szCs w:val="21"/>
          <w:highlight w:val="none"/>
          <w:lang w:val="en-US" w:eastAsia="zh-CN" w:bidi="ar-SA"/>
        </w:rPr>
        <w:t>。</w:t>
      </w:r>
    </w:p>
    <w:p>
      <w:pPr>
        <w:tabs>
          <w:tab w:val="left" w:pos="1050"/>
          <w:tab w:val="left" w:pos="1470"/>
        </w:tabs>
        <w:spacing w:line="360" w:lineRule="auto"/>
        <w:ind w:firstLine="480" w:firstLineChars="200"/>
        <w:rPr>
          <w:rFonts w:hint="eastAsia" w:ascii="Times New Roman" w:hAnsi="Times New Roman" w:eastAsia="宋体" w:cs="Times New Roman"/>
          <w:b w:val="0"/>
          <w:bCs w:val="0"/>
          <w:color w:val="auto"/>
          <w:kern w:val="2"/>
          <w:sz w:val="24"/>
          <w:szCs w:val="21"/>
          <w:highlight w:val="none"/>
          <w:lang w:val="en-US" w:eastAsia="zh-CN" w:bidi="ar-SA"/>
        </w:rPr>
      </w:pPr>
      <w:r>
        <w:rPr>
          <w:rFonts w:hint="eastAsia" w:ascii="宋体" w:hAnsi="宋体" w:cs="宋体"/>
          <w:color w:val="auto"/>
          <w:sz w:val="24"/>
          <w:szCs w:val="24"/>
          <w:lang w:val="en-US" w:eastAsia="zh-CN"/>
        </w:rPr>
        <w:t>投标人需</w:t>
      </w:r>
      <w:r>
        <w:rPr>
          <w:rFonts w:ascii="宋体" w:hAnsi="宋体" w:eastAsia="宋体" w:cs="宋体"/>
          <w:color w:val="auto"/>
          <w:sz w:val="24"/>
          <w:szCs w:val="24"/>
        </w:rPr>
        <w:t>在阳光采购服务平台进行注册，注册后搜索该项目并进行报名</w:t>
      </w:r>
      <w:r>
        <w:rPr>
          <w:rFonts w:hint="eastAsia" w:ascii="宋体" w:hAnsi="宋体" w:cs="宋体"/>
          <w:color w:val="auto"/>
          <w:sz w:val="24"/>
          <w:szCs w:val="24"/>
          <w:lang w:eastAsia="zh-CN"/>
        </w:rPr>
        <w:t>，</w:t>
      </w:r>
      <w:r>
        <w:rPr>
          <w:rFonts w:hint="eastAsia" w:ascii="宋体" w:hAnsi="宋体"/>
          <w:bCs/>
          <w:color w:val="auto"/>
          <w:sz w:val="24"/>
          <w:highlight w:val="none"/>
        </w:rPr>
        <w:t>本项目实行资格后审，报名成功不代表资格审查通过，以最终通过招标工作小组的审查为准。预审通过后招标方联系人将本项目招标书电子版以电子邮件的形式发送至投标方所提供的邮箱，招标方不对投标方能否通过电子邮件正确或及时接收相关邮件负责，招标方邮件发出即视为送达。</w:t>
      </w:r>
      <w:r>
        <w:rPr>
          <w:rFonts w:hint="eastAsia" w:ascii="宋体" w:hAnsi="宋体"/>
          <w:bCs/>
          <w:color w:val="auto"/>
          <w:sz w:val="24"/>
          <w:highlight w:val="none"/>
          <w:lang w:val="en-US" w:eastAsia="zh-CN"/>
        </w:rPr>
        <w:t>参加正式投标的投标人需缴纳投标保证金5000元。</w:t>
      </w:r>
    </w:p>
    <w:p>
      <w:pPr>
        <w:tabs>
          <w:tab w:val="left" w:pos="1050"/>
          <w:tab w:val="left" w:pos="1470"/>
        </w:tabs>
        <w:spacing w:line="360" w:lineRule="auto"/>
        <w:rPr>
          <w:rFonts w:ascii="宋体"/>
          <w:color w:val="auto"/>
          <w:sz w:val="24"/>
          <w:highlight w:val="none"/>
        </w:rPr>
      </w:pPr>
      <w:r>
        <w:rPr>
          <w:color w:val="auto"/>
          <w:sz w:val="24"/>
          <w:highlight w:val="none"/>
        </w:rPr>
        <w:t>4.2</w:t>
      </w:r>
      <w:r>
        <w:rPr>
          <w:rFonts w:hint="eastAsia" w:ascii="宋体"/>
          <w:color w:val="auto"/>
          <w:sz w:val="24"/>
          <w:highlight w:val="none"/>
        </w:rPr>
        <w:t>投标截止及开标时间：北京时间</w:t>
      </w:r>
      <w:r>
        <w:rPr>
          <w:rFonts w:ascii="宋体"/>
          <w:color w:val="auto"/>
          <w:sz w:val="24"/>
          <w:highlight w:val="none"/>
        </w:rPr>
        <w:t>20</w:t>
      </w:r>
      <w:r>
        <w:rPr>
          <w:rFonts w:hint="eastAsia" w:ascii="宋体"/>
          <w:color w:val="auto"/>
          <w:sz w:val="24"/>
          <w:highlight w:val="none"/>
        </w:rPr>
        <w:t>2</w:t>
      </w:r>
      <w:r>
        <w:rPr>
          <w:rFonts w:hint="eastAsia" w:ascii="宋体"/>
          <w:color w:val="auto"/>
          <w:sz w:val="24"/>
          <w:highlight w:val="none"/>
          <w:lang w:val="en-US" w:eastAsia="zh-CN"/>
        </w:rPr>
        <w:t>5</w:t>
      </w:r>
      <w:r>
        <w:rPr>
          <w:rFonts w:hint="eastAsia" w:ascii="宋体"/>
          <w:color w:val="auto"/>
          <w:sz w:val="24"/>
          <w:highlight w:val="none"/>
        </w:rPr>
        <w:t>年</w:t>
      </w:r>
      <w:r>
        <w:rPr>
          <w:rFonts w:hint="eastAsia" w:ascii="宋体"/>
          <w:color w:val="auto"/>
          <w:sz w:val="24"/>
          <w:highlight w:val="none"/>
          <w:lang w:val="en-US" w:eastAsia="zh-CN"/>
        </w:rPr>
        <w:t>5</w:t>
      </w:r>
      <w:r>
        <w:rPr>
          <w:rFonts w:hint="eastAsia" w:ascii="宋体"/>
          <w:color w:val="auto"/>
          <w:sz w:val="24"/>
          <w:highlight w:val="none"/>
        </w:rPr>
        <w:t>月</w:t>
      </w:r>
      <w:r>
        <w:rPr>
          <w:rFonts w:hint="eastAsia" w:ascii="宋体"/>
          <w:color w:val="auto"/>
          <w:sz w:val="24"/>
          <w:highlight w:val="none"/>
          <w:lang w:val="en-US" w:eastAsia="zh-CN"/>
        </w:rPr>
        <w:t>14</w:t>
      </w:r>
      <w:r>
        <w:rPr>
          <w:rFonts w:hint="eastAsia" w:ascii="宋体"/>
          <w:color w:val="auto"/>
          <w:sz w:val="24"/>
          <w:highlight w:val="none"/>
        </w:rPr>
        <w:t>日</w:t>
      </w:r>
      <w:r>
        <w:rPr>
          <w:rFonts w:hint="eastAsia" w:ascii="宋体"/>
          <w:color w:val="auto"/>
          <w:sz w:val="24"/>
          <w:highlight w:val="none"/>
          <w:lang w:val="en-US" w:eastAsia="zh-CN"/>
        </w:rPr>
        <w:t>9</w:t>
      </w:r>
      <w:r>
        <w:rPr>
          <w:rFonts w:hint="eastAsia" w:ascii="宋体"/>
          <w:color w:val="auto"/>
          <w:sz w:val="24"/>
          <w:highlight w:val="none"/>
        </w:rPr>
        <w:t>:</w:t>
      </w:r>
      <w:r>
        <w:rPr>
          <w:rFonts w:hint="eastAsia" w:ascii="宋体"/>
          <w:color w:val="auto"/>
          <w:sz w:val="24"/>
          <w:highlight w:val="none"/>
          <w:lang w:val="en-US" w:eastAsia="zh-CN"/>
        </w:rPr>
        <w:t>0</w:t>
      </w:r>
      <w:r>
        <w:rPr>
          <w:rFonts w:hint="eastAsia" w:ascii="宋体"/>
          <w:color w:val="auto"/>
          <w:sz w:val="24"/>
          <w:highlight w:val="none"/>
        </w:rPr>
        <w:t>0时，逾期送达恕不接受。</w:t>
      </w:r>
    </w:p>
    <w:p>
      <w:pPr>
        <w:tabs>
          <w:tab w:val="left" w:pos="1050"/>
          <w:tab w:val="left" w:pos="1470"/>
        </w:tabs>
        <w:spacing w:line="360" w:lineRule="auto"/>
        <w:rPr>
          <w:rFonts w:ascii="宋体"/>
          <w:color w:val="auto"/>
          <w:sz w:val="24"/>
          <w:highlight w:val="none"/>
        </w:rPr>
      </w:pPr>
      <w:r>
        <w:rPr>
          <w:color w:val="auto"/>
          <w:sz w:val="24"/>
          <w:highlight w:val="none"/>
        </w:rPr>
        <w:t>4.3</w:t>
      </w:r>
      <w:r>
        <w:rPr>
          <w:rFonts w:hint="eastAsia" w:ascii="宋体"/>
          <w:color w:val="auto"/>
          <w:sz w:val="24"/>
          <w:highlight w:val="none"/>
        </w:rPr>
        <w:t>投标地点及开标地点：</w:t>
      </w:r>
    </w:p>
    <w:p>
      <w:pPr>
        <w:tabs>
          <w:tab w:val="left" w:pos="420"/>
          <w:tab w:val="left" w:pos="1134"/>
        </w:tabs>
        <w:spacing w:line="360" w:lineRule="auto"/>
        <w:ind w:firstLine="849" w:firstLineChars="354"/>
        <w:rPr>
          <w:rFonts w:ascii="宋体"/>
          <w:color w:val="auto"/>
          <w:sz w:val="24"/>
          <w:highlight w:val="none"/>
        </w:rPr>
      </w:pPr>
      <w:r>
        <w:rPr>
          <w:rFonts w:hint="eastAsia"/>
          <w:color w:val="auto"/>
          <w:sz w:val="24"/>
          <w:highlight w:val="none"/>
        </w:rPr>
        <w:t>投标地点：</w:t>
      </w:r>
      <w:r>
        <w:rPr>
          <w:rFonts w:hint="eastAsia" w:ascii="宋体" w:hAnsi="宋体"/>
          <w:color w:val="auto"/>
          <w:sz w:val="24"/>
          <w:szCs w:val="24"/>
          <w:highlight w:val="none"/>
        </w:rPr>
        <w:t>重庆市江津区双福新区工业园潍柴路2号</w:t>
      </w:r>
    </w:p>
    <w:p>
      <w:pPr>
        <w:tabs>
          <w:tab w:val="left" w:pos="420"/>
          <w:tab w:val="left" w:pos="1134"/>
        </w:tabs>
        <w:spacing w:line="360" w:lineRule="auto"/>
        <w:ind w:firstLine="849" w:firstLineChars="354"/>
        <w:rPr>
          <w:strike/>
          <w:color w:val="auto"/>
          <w:sz w:val="24"/>
          <w:highlight w:val="none"/>
        </w:rPr>
      </w:pPr>
      <w:r>
        <w:rPr>
          <w:rFonts w:hint="eastAsia" w:ascii="宋体"/>
          <w:color w:val="auto"/>
          <w:sz w:val="24"/>
          <w:highlight w:val="none"/>
        </w:rPr>
        <w:t>开标地址：</w:t>
      </w:r>
      <w:r>
        <w:rPr>
          <w:rFonts w:hint="eastAsia" w:ascii="宋体" w:hAnsi="宋体"/>
          <w:color w:val="auto"/>
          <w:sz w:val="24"/>
          <w:szCs w:val="24"/>
          <w:highlight w:val="none"/>
        </w:rPr>
        <w:t>重庆市江津区双福新区工业园潍柴路2号 会议室</w:t>
      </w:r>
    </w:p>
    <w:p>
      <w:pPr>
        <w:tabs>
          <w:tab w:val="left" w:pos="1134"/>
        </w:tabs>
        <w:spacing w:line="360" w:lineRule="auto"/>
        <w:ind w:firstLine="849" w:firstLineChars="354"/>
        <w:rPr>
          <w:rFonts w:hint="default" w:eastAsia="宋体"/>
          <w:color w:val="auto"/>
          <w:sz w:val="24"/>
          <w:highlight w:val="none"/>
          <w:lang w:val="en-US" w:eastAsia="zh-CN"/>
        </w:rPr>
      </w:pPr>
      <w:r>
        <w:rPr>
          <w:rFonts w:hint="eastAsia"/>
          <w:color w:val="auto"/>
          <w:sz w:val="24"/>
          <w:highlight w:val="none"/>
        </w:rPr>
        <w:t>联系人：</w:t>
      </w:r>
      <w:r>
        <w:rPr>
          <w:rFonts w:hint="eastAsia"/>
          <w:color w:val="auto"/>
          <w:sz w:val="24"/>
          <w:highlight w:val="none"/>
          <w:lang w:val="en-US" w:eastAsia="zh-CN"/>
        </w:rPr>
        <w:t>章老师（技术）、</w:t>
      </w:r>
      <w:r>
        <w:rPr>
          <w:rFonts w:hint="eastAsia"/>
          <w:color w:val="auto"/>
          <w:sz w:val="24"/>
          <w:highlight w:val="none"/>
        </w:rPr>
        <w:t>张</w:t>
      </w:r>
      <w:r>
        <w:rPr>
          <w:rFonts w:hint="eastAsia"/>
          <w:color w:val="auto"/>
          <w:sz w:val="24"/>
          <w:highlight w:val="none"/>
          <w:lang w:val="en-US" w:eastAsia="zh-CN"/>
        </w:rPr>
        <w:t>老师（商务）</w:t>
      </w:r>
    </w:p>
    <w:p>
      <w:pPr>
        <w:tabs>
          <w:tab w:val="left" w:pos="1134"/>
        </w:tabs>
        <w:spacing w:line="360" w:lineRule="auto"/>
        <w:ind w:firstLine="849" w:firstLineChars="354"/>
        <w:rPr>
          <w:rFonts w:hint="default" w:eastAsia="宋体"/>
          <w:color w:val="auto"/>
          <w:sz w:val="24"/>
          <w:highlight w:val="none"/>
          <w:lang w:val="en-US" w:eastAsia="zh-CN"/>
        </w:rPr>
      </w:pPr>
      <w:r>
        <w:rPr>
          <w:rFonts w:hint="eastAsia"/>
          <w:color w:val="auto"/>
          <w:sz w:val="24"/>
          <w:highlight w:val="none"/>
        </w:rPr>
        <w:t>联系电话：18680810009</w:t>
      </w: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技术）、</w:t>
      </w:r>
      <w:r>
        <w:rPr>
          <w:rFonts w:hint="eastAsia" w:ascii="宋体" w:hAnsi="宋体"/>
          <w:bCs/>
          <w:color w:val="auto"/>
          <w:sz w:val="24"/>
          <w:highlight w:val="none"/>
        </w:rPr>
        <w:t>13677683722</w:t>
      </w:r>
      <w:r>
        <w:rPr>
          <w:rFonts w:hint="eastAsia"/>
          <w:color w:val="auto"/>
          <w:sz w:val="24"/>
          <w:highlight w:val="none"/>
          <w:lang w:val="en-US" w:eastAsia="zh-CN"/>
        </w:rPr>
        <w:t>（商务）</w:t>
      </w:r>
    </w:p>
    <w:p>
      <w:pPr>
        <w:tabs>
          <w:tab w:val="left" w:pos="1134"/>
        </w:tabs>
        <w:spacing w:line="360" w:lineRule="auto"/>
        <w:ind w:firstLine="849" w:firstLineChars="354"/>
        <w:rPr>
          <w:color w:val="auto"/>
          <w:sz w:val="24"/>
          <w:highlight w:val="none"/>
        </w:rPr>
      </w:pPr>
      <w:r>
        <w:rPr>
          <w:rFonts w:hint="eastAsia"/>
          <w:color w:val="auto"/>
          <w:sz w:val="24"/>
          <w:highlight w:val="none"/>
        </w:rPr>
        <w:t>邮箱地址：zhangjie4@sinotruk.com</w:t>
      </w: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技术）、</w:t>
      </w:r>
      <w:r>
        <w:rPr>
          <w:color w:val="auto"/>
          <w:highlight w:val="none"/>
        </w:rPr>
        <w:fldChar w:fldCharType="begin"/>
      </w:r>
      <w:r>
        <w:rPr>
          <w:color w:val="auto"/>
          <w:highlight w:val="none"/>
        </w:rPr>
        <w:instrText xml:space="preserve"> HYPERLINK "mailto:zhangyijin@sinotruk.com" </w:instrText>
      </w:r>
      <w:r>
        <w:rPr>
          <w:color w:val="auto"/>
          <w:highlight w:val="none"/>
        </w:rPr>
        <w:fldChar w:fldCharType="separate"/>
      </w:r>
      <w:r>
        <w:rPr>
          <w:rStyle w:val="19"/>
          <w:rFonts w:hint="eastAsia"/>
          <w:color w:val="auto"/>
          <w:sz w:val="24"/>
          <w:highlight w:val="none"/>
        </w:rPr>
        <w:t>zhangyijin@sinotruk.com</w:t>
      </w:r>
      <w:r>
        <w:rPr>
          <w:rStyle w:val="19"/>
          <w:rFonts w:hint="eastAsia"/>
          <w:color w:val="auto"/>
          <w:sz w:val="24"/>
          <w:highlight w:val="none"/>
        </w:rPr>
        <w:fldChar w:fldCharType="end"/>
      </w:r>
      <w:r>
        <w:rPr>
          <w:rFonts w:hint="eastAsia"/>
          <w:color w:val="auto"/>
          <w:sz w:val="24"/>
          <w:highlight w:val="none"/>
          <w:lang w:val="en-US" w:eastAsia="zh-CN"/>
        </w:rPr>
        <w:t>（商务）</w:t>
      </w:r>
    </w:p>
    <w:p>
      <w:pPr>
        <w:pStyle w:val="3"/>
        <w:rPr>
          <w:color w:val="auto"/>
          <w:highlight w:val="none"/>
        </w:rPr>
      </w:pPr>
      <w:r>
        <w:rPr>
          <w:rFonts w:hint="eastAsia"/>
          <w:color w:val="auto"/>
          <w:highlight w:val="none"/>
        </w:rPr>
        <w:t>五</w:t>
      </w:r>
      <w:r>
        <w:rPr>
          <w:color w:val="auto"/>
          <w:highlight w:val="none"/>
        </w:rPr>
        <w:t>、评标</w:t>
      </w:r>
      <w:r>
        <w:rPr>
          <w:rFonts w:hint="eastAsia"/>
          <w:color w:val="auto"/>
          <w:highlight w:val="none"/>
        </w:rPr>
        <w:t>办法</w:t>
      </w:r>
    </w:p>
    <w:p>
      <w:pPr>
        <w:tabs>
          <w:tab w:val="left" w:pos="454"/>
        </w:tabs>
        <w:spacing w:line="360" w:lineRule="auto"/>
        <w:ind w:firstLine="480" w:firstLineChars="200"/>
        <w:rPr>
          <w:rFonts w:hint="eastAsia"/>
          <w:color w:val="auto"/>
          <w:sz w:val="24"/>
          <w:highlight w:val="none"/>
        </w:rPr>
      </w:pPr>
      <w:r>
        <w:rPr>
          <w:rFonts w:hint="eastAsia" w:ascii="宋体" w:hAnsi="宋体"/>
          <w:color w:val="auto"/>
          <w:sz w:val="24"/>
          <w:szCs w:val="24"/>
          <w:highlight w:val="none"/>
        </w:rPr>
        <w:t>本项目评标采用合理最低价中标法：评标专家组将与投标人进行多轮商务谈判，</w:t>
      </w:r>
      <w:r>
        <w:rPr>
          <w:rFonts w:hint="eastAsia"/>
          <w:color w:val="auto"/>
          <w:sz w:val="24"/>
          <w:highlight w:val="none"/>
        </w:rPr>
        <w:t>选取经</w:t>
      </w:r>
      <w:r>
        <w:rPr>
          <w:rFonts w:hint="eastAsia"/>
          <w:color w:val="auto"/>
          <w:sz w:val="24"/>
          <w:highlight w:val="none"/>
          <w:lang w:val="en-US" w:eastAsia="zh-CN"/>
        </w:rPr>
        <w:t>谈判</w:t>
      </w:r>
      <w:r>
        <w:rPr>
          <w:rFonts w:hint="eastAsia" w:ascii="宋体" w:hAnsi="宋体"/>
          <w:color w:val="auto"/>
          <w:sz w:val="24"/>
          <w:szCs w:val="24"/>
          <w:highlight w:val="none"/>
        </w:rPr>
        <w:t>后</w:t>
      </w:r>
      <w:r>
        <w:rPr>
          <w:rFonts w:hint="eastAsia" w:ascii="宋体" w:hAnsi="宋体"/>
          <w:color w:val="auto"/>
          <w:sz w:val="24"/>
          <w:szCs w:val="24"/>
          <w:highlight w:val="none"/>
          <w:lang w:val="en-US" w:eastAsia="zh-CN"/>
        </w:rPr>
        <w:t>各类别赋权重不含税单价合计</w:t>
      </w:r>
      <w:r>
        <w:rPr>
          <w:rFonts w:hint="eastAsia" w:ascii="宋体" w:hAnsi="宋体"/>
          <w:color w:val="auto"/>
          <w:sz w:val="24"/>
          <w:szCs w:val="24"/>
          <w:highlight w:val="none"/>
        </w:rPr>
        <w:t>最低的投标人中标</w:t>
      </w:r>
      <w:r>
        <w:rPr>
          <w:rFonts w:hint="eastAsia"/>
          <w:color w:val="auto"/>
          <w:sz w:val="24"/>
          <w:highlight w:val="none"/>
        </w:rPr>
        <w:t>。</w:t>
      </w:r>
      <w:r>
        <w:rPr>
          <w:rFonts w:hint="eastAsia" w:ascii="宋体" w:hAnsi="宋体"/>
          <w:color w:val="auto"/>
          <w:sz w:val="24"/>
          <w:szCs w:val="24"/>
          <w:highlight w:val="none"/>
          <w:lang w:val="en-US" w:eastAsia="zh-CN"/>
        </w:rPr>
        <w:t>赋权重不含税单价合计方法如下：</w:t>
      </w:r>
    </w:p>
    <w:p>
      <w:pPr>
        <w:tabs>
          <w:tab w:val="left" w:pos="454"/>
        </w:tabs>
        <w:spacing w:line="360" w:lineRule="auto"/>
        <w:ind w:firstLine="480" w:firstLineChars="200"/>
        <w:rPr>
          <w:rFonts w:hint="default"/>
          <w:color w:val="auto"/>
          <w:sz w:val="24"/>
          <w:highlight w:val="none"/>
          <w:lang w:val="en-US"/>
        </w:rPr>
      </w:pPr>
      <w:r>
        <w:rPr>
          <w:rFonts w:hint="eastAsia" w:ascii="宋体" w:hAnsi="宋体"/>
          <w:color w:val="auto"/>
          <w:sz w:val="24"/>
          <w:szCs w:val="24"/>
          <w:highlight w:val="none"/>
          <w:lang w:val="en-US" w:eastAsia="zh-CN"/>
        </w:rPr>
        <w:t>赋权重不含税单价合计=</w:t>
      </w:r>
      <w:r>
        <w:rPr>
          <w:rFonts w:hint="eastAsia" w:ascii="仿宋_GB2312" w:hAnsi="仿宋_GB2312" w:cs="仿宋_GB2312"/>
          <w:sz w:val="24"/>
          <w:szCs w:val="24"/>
          <w:vertAlign w:val="baseline"/>
          <w:lang w:val="en-US" w:eastAsia="zh-CN"/>
        </w:rPr>
        <w:t>Σ综合布线</w:t>
      </w:r>
      <w:r>
        <w:rPr>
          <w:rFonts w:hint="eastAsia" w:ascii="宋体" w:hAnsi="宋体"/>
          <w:color w:val="auto"/>
          <w:sz w:val="24"/>
          <w:szCs w:val="24"/>
          <w:highlight w:val="none"/>
          <w:lang w:val="en-US" w:eastAsia="zh-CN"/>
        </w:rPr>
        <w:t>*35%+</w:t>
      </w:r>
      <w:r>
        <w:rPr>
          <w:rFonts w:hint="eastAsia" w:ascii="仿宋_GB2312" w:hAnsi="仿宋_GB2312" w:cs="仿宋_GB2312"/>
          <w:sz w:val="24"/>
          <w:szCs w:val="24"/>
          <w:vertAlign w:val="baseline"/>
          <w:lang w:val="en-US" w:eastAsia="zh-CN"/>
        </w:rPr>
        <w:t>Σ网络设备</w:t>
      </w:r>
      <w:r>
        <w:rPr>
          <w:rFonts w:hint="eastAsia" w:ascii="宋体" w:hAnsi="宋体"/>
          <w:color w:val="auto"/>
          <w:sz w:val="24"/>
          <w:szCs w:val="24"/>
          <w:highlight w:val="none"/>
          <w:lang w:val="en-US" w:eastAsia="zh-CN"/>
        </w:rPr>
        <w:t>*25%+</w:t>
      </w:r>
      <w:r>
        <w:rPr>
          <w:rFonts w:hint="eastAsia" w:ascii="仿宋_GB2312" w:hAnsi="仿宋_GB2312" w:cs="仿宋_GB2312"/>
          <w:sz w:val="24"/>
          <w:szCs w:val="24"/>
          <w:vertAlign w:val="baseline"/>
          <w:lang w:val="en-US" w:eastAsia="zh-CN"/>
        </w:rPr>
        <w:t>Σ视频监控设备</w:t>
      </w:r>
      <w:r>
        <w:rPr>
          <w:rFonts w:hint="eastAsia" w:ascii="宋体" w:hAnsi="宋体"/>
          <w:color w:val="auto"/>
          <w:sz w:val="24"/>
          <w:szCs w:val="24"/>
          <w:highlight w:val="none"/>
          <w:lang w:val="en-US" w:eastAsia="zh-CN"/>
        </w:rPr>
        <w:t>*20%+</w:t>
      </w:r>
      <w:r>
        <w:rPr>
          <w:rFonts w:hint="eastAsia" w:ascii="仿宋_GB2312" w:hAnsi="仿宋_GB2312" w:cs="仿宋_GB2312"/>
          <w:sz w:val="24"/>
          <w:szCs w:val="24"/>
          <w:vertAlign w:val="baseline"/>
          <w:lang w:val="en-US" w:eastAsia="zh-CN"/>
        </w:rPr>
        <w:t>Σ一卡通系统</w:t>
      </w:r>
      <w:r>
        <w:rPr>
          <w:rFonts w:hint="eastAsia" w:ascii="宋体" w:hAnsi="宋体"/>
          <w:color w:val="auto"/>
          <w:sz w:val="24"/>
          <w:szCs w:val="24"/>
          <w:highlight w:val="none"/>
          <w:lang w:val="en-US" w:eastAsia="zh-CN"/>
        </w:rPr>
        <w:t>*5%+</w:t>
      </w:r>
      <w:r>
        <w:rPr>
          <w:rFonts w:hint="eastAsia" w:ascii="仿宋_GB2312" w:hAnsi="仿宋_GB2312" w:cs="仿宋_GB2312"/>
          <w:sz w:val="24"/>
          <w:szCs w:val="24"/>
          <w:vertAlign w:val="baseline"/>
          <w:lang w:val="en-US" w:eastAsia="zh-CN"/>
        </w:rPr>
        <w:t>Σ广播系统</w:t>
      </w:r>
      <w:r>
        <w:rPr>
          <w:rFonts w:hint="eastAsia" w:ascii="宋体" w:hAnsi="宋体"/>
          <w:color w:val="auto"/>
          <w:sz w:val="24"/>
          <w:szCs w:val="24"/>
          <w:highlight w:val="none"/>
          <w:lang w:val="en-US" w:eastAsia="zh-CN"/>
        </w:rPr>
        <w:t>*5%+</w:t>
      </w:r>
      <w:r>
        <w:rPr>
          <w:rFonts w:hint="eastAsia" w:ascii="仿宋_GB2312" w:hAnsi="仿宋_GB2312" w:cs="仿宋_GB2312"/>
          <w:sz w:val="24"/>
          <w:szCs w:val="24"/>
          <w:vertAlign w:val="baseline"/>
          <w:lang w:val="en-US" w:eastAsia="zh-CN"/>
        </w:rPr>
        <w:t>Σ停车场管理系统</w:t>
      </w:r>
      <w:r>
        <w:rPr>
          <w:rFonts w:hint="eastAsia" w:ascii="宋体" w:hAnsi="宋体"/>
          <w:color w:val="auto"/>
          <w:sz w:val="24"/>
          <w:szCs w:val="24"/>
          <w:highlight w:val="none"/>
          <w:lang w:val="en-US" w:eastAsia="zh-CN"/>
        </w:rPr>
        <w:t>*5%+</w:t>
      </w:r>
      <w:r>
        <w:rPr>
          <w:rFonts w:hint="eastAsia" w:ascii="仿宋_GB2312" w:hAnsi="仿宋_GB2312" w:cs="仿宋_GB2312"/>
          <w:sz w:val="24"/>
          <w:szCs w:val="24"/>
          <w:vertAlign w:val="baseline"/>
          <w:lang w:val="en-US" w:eastAsia="zh-CN"/>
        </w:rPr>
        <w:t>Σ巡更系统</w:t>
      </w:r>
      <w:r>
        <w:rPr>
          <w:rFonts w:hint="eastAsia" w:ascii="宋体" w:hAnsi="宋体"/>
          <w:color w:val="auto"/>
          <w:sz w:val="24"/>
          <w:szCs w:val="24"/>
          <w:highlight w:val="none"/>
          <w:lang w:val="en-US" w:eastAsia="zh-CN"/>
        </w:rPr>
        <w:t>*5%。</w:t>
      </w:r>
    </w:p>
    <w:p>
      <w:pPr>
        <w:pStyle w:val="3"/>
        <w:numPr>
          <w:ilvl w:val="0"/>
          <w:numId w:val="1"/>
        </w:numPr>
        <w:rPr>
          <w:color w:val="auto"/>
          <w:highlight w:val="none"/>
        </w:rPr>
      </w:pPr>
      <w:r>
        <w:rPr>
          <w:rFonts w:hint="eastAsia"/>
          <w:color w:val="auto"/>
          <w:highlight w:val="none"/>
        </w:rPr>
        <w:t>投标人资格要求</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6.1投标人必须具备以下资格，并提供</w:t>
      </w:r>
      <w:r>
        <w:rPr>
          <w:rFonts w:hint="eastAsia" w:ascii="宋体" w:hAnsi="宋体" w:cs="宋体"/>
          <w:color w:val="auto"/>
          <w:sz w:val="24"/>
          <w:szCs w:val="24"/>
          <w:highlight w:val="none"/>
        </w:rPr>
        <w:t>营业执照</w:t>
      </w:r>
      <w:r>
        <w:rPr>
          <w:rFonts w:hint="eastAsia" w:ascii="宋体" w:hAnsi="宋体" w:cs="宋体"/>
          <w:color w:val="auto"/>
          <w:sz w:val="24"/>
          <w:highlight w:val="none"/>
        </w:rPr>
        <w:t>（复印件加盖公章）</w:t>
      </w:r>
    </w:p>
    <w:p>
      <w:pPr>
        <w:keepNext w:val="0"/>
        <w:keepLines w:val="0"/>
        <w:pageBreakBefore w:val="0"/>
        <w:widowControl w:val="0"/>
        <w:kinsoku/>
        <w:wordWrap/>
        <w:overflowPunct/>
        <w:topLinePunct w:val="0"/>
        <w:autoSpaceDE/>
        <w:autoSpaceDN/>
        <w:bidi w:val="0"/>
        <w:adjustRightInd w:val="0"/>
        <w:snapToGrid w:val="0"/>
        <w:spacing w:line="360" w:lineRule="auto"/>
        <w:ind w:left="718" w:leftChars="342" w:firstLine="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6.1.1注册资金≥500万元以上；</w:t>
      </w:r>
      <w:r>
        <w:rPr>
          <w:rFonts w:hint="eastAsia" w:ascii="宋体" w:hAnsi="宋体" w:cs="宋体"/>
          <w:color w:val="auto"/>
          <w:sz w:val="24"/>
          <w:highlight w:val="none"/>
          <w:lang w:val="en-US" w:eastAsia="zh-CN"/>
        </w:rPr>
        <w:br w:type="textWrapping"/>
      </w:r>
      <w:r>
        <w:rPr>
          <w:rFonts w:hint="eastAsia" w:ascii="宋体" w:hAnsi="宋体" w:cs="宋体"/>
          <w:color w:val="auto"/>
          <w:sz w:val="24"/>
          <w:highlight w:val="none"/>
          <w:lang w:val="en-US" w:eastAsia="zh-CN"/>
        </w:rPr>
        <w:t>6.1.2资质：安防工程从业资质二级以上；</w:t>
      </w:r>
    </w:p>
    <w:p>
      <w:pPr>
        <w:keepNext w:val="0"/>
        <w:keepLines w:val="0"/>
        <w:pageBreakBefore w:val="0"/>
        <w:widowControl w:val="0"/>
        <w:kinsoku/>
        <w:wordWrap/>
        <w:overflowPunct/>
        <w:topLinePunct w:val="0"/>
        <w:autoSpaceDE/>
        <w:autoSpaceDN/>
        <w:bidi w:val="0"/>
        <w:adjustRightInd w:val="0"/>
        <w:snapToGrid w:val="0"/>
        <w:spacing w:line="360" w:lineRule="auto"/>
        <w:ind w:left="718" w:leftChars="342" w:firstLine="0" w:firstLineChars="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6.1.3业绩：近三年至少三个同类项目案例（合同原件复印件+盖章）；</w:t>
      </w:r>
      <w:r>
        <w:rPr>
          <w:rFonts w:hint="eastAsia" w:ascii="宋体" w:hAnsi="宋体" w:cs="宋体"/>
          <w:color w:val="auto"/>
          <w:sz w:val="24"/>
          <w:highlight w:val="none"/>
          <w:lang w:val="en-US" w:eastAsia="zh-CN"/>
        </w:rPr>
        <w:br w:type="textWrapping"/>
      </w:r>
      <w:r>
        <w:rPr>
          <w:rFonts w:hint="eastAsia" w:ascii="宋体" w:hAnsi="宋体" w:cs="宋体"/>
          <w:color w:val="auto"/>
          <w:sz w:val="24"/>
          <w:highlight w:val="none"/>
          <w:lang w:val="en-US" w:eastAsia="zh-CN"/>
        </w:rPr>
        <w:t>6.1.4</w:t>
      </w:r>
      <w:r>
        <w:rPr>
          <w:rFonts w:hint="eastAsia" w:ascii="Times New Roman" w:hAnsi="Times New Roman" w:eastAsia="宋体" w:cs="Times New Roman"/>
          <w:b w:val="0"/>
          <w:bCs w:val="0"/>
          <w:color w:val="auto"/>
          <w:kern w:val="2"/>
          <w:sz w:val="24"/>
          <w:szCs w:val="21"/>
          <w:highlight w:val="none"/>
          <w:lang w:val="en-US" w:eastAsia="zh-CN" w:bidi="ar-SA"/>
        </w:rPr>
        <w:t>资源要求：</w:t>
      </w:r>
      <w:r>
        <w:rPr>
          <w:rFonts w:hint="eastAsia" w:cs="Times New Roman"/>
          <w:b w:val="0"/>
          <w:bCs w:val="0"/>
          <w:color w:val="auto"/>
          <w:kern w:val="2"/>
          <w:sz w:val="24"/>
          <w:szCs w:val="21"/>
          <w:highlight w:val="none"/>
          <w:lang w:val="en-US" w:eastAsia="zh-CN" w:bidi="ar-SA"/>
        </w:rPr>
        <w:t>3</w:t>
      </w:r>
      <w:r>
        <w:rPr>
          <w:rFonts w:hint="eastAsia" w:ascii="Times New Roman" w:hAnsi="Times New Roman" w:eastAsia="宋体" w:cs="Times New Roman"/>
          <w:b w:val="0"/>
          <w:bCs w:val="0"/>
          <w:color w:val="auto"/>
          <w:kern w:val="2"/>
          <w:sz w:val="24"/>
          <w:szCs w:val="21"/>
          <w:highlight w:val="none"/>
          <w:lang w:val="en-US" w:eastAsia="zh-CN" w:bidi="ar-SA"/>
        </w:rPr>
        <w:t>人以上7*</w:t>
      </w:r>
      <w:r>
        <w:rPr>
          <w:rFonts w:ascii="Times New Roman" w:hAnsi="Times New Roman" w:eastAsia="宋体" w:cs="Times New Roman"/>
          <w:b w:val="0"/>
          <w:bCs w:val="0"/>
          <w:color w:val="auto"/>
          <w:kern w:val="2"/>
          <w:sz w:val="24"/>
          <w:szCs w:val="21"/>
          <w:highlight w:val="none"/>
          <w:lang w:val="en-US" w:eastAsia="zh-CN" w:bidi="ar-SA"/>
        </w:rPr>
        <w:t>24H</w:t>
      </w:r>
      <w:r>
        <w:rPr>
          <w:rFonts w:hint="eastAsia" w:ascii="Times New Roman" w:hAnsi="Times New Roman" w:eastAsia="宋体" w:cs="Times New Roman"/>
          <w:b w:val="0"/>
          <w:bCs w:val="0"/>
          <w:color w:val="auto"/>
          <w:kern w:val="2"/>
          <w:sz w:val="24"/>
          <w:szCs w:val="21"/>
          <w:highlight w:val="none"/>
          <w:lang w:val="en-US" w:eastAsia="zh-CN" w:bidi="ar-SA"/>
        </w:rPr>
        <w:t>人力资源</w:t>
      </w:r>
      <w:r>
        <w:rPr>
          <w:rFonts w:ascii="Times New Roman" w:hAnsi="Times New Roman" w:eastAsia="宋体" w:cs="Times New Roman"/>
          <w:b w:val="0"/>
          <w:bCs w:val="0"/>
          <w:color w:val="auto"/>
          <w:kern w:val="2"/>
          <w:sz w:val="24"/>
          <w:szCs w:val="21"/>
          <w:highlight w:val="none"/>
          <w:lang w:val="en-US" w:eastAsia="zh-CN" w:bidi="ar-SA"/>
        </w:rPr>
        <w:t>，</w:t>
      </w:r>
      <w:r>
        <w:rPr>
          <w:rFonts w:hint="eastAsia" w:ascii="Times New Roman" w:hAnsi="Times New Roman" w:eastAsia="宋体" w:cs="Times New Roman"/>
          <w:b w:val="0"/>
          <w:bCs w:val="0"/>
          <w:color w:val="auto"/>
          <w:kern w:val="2"/>
          <w:sz w:val="24"/>
          <w:szCs w:val="21"/>
          <w:highlight w:val="none"/>
          <w:lang w:val="en-US" w:eastAsia="zh-CN" w:bidi="ar-SA"/>
        </w:rPr>
        <w:t>包括固定的项目管理对接人、</w:t>
      </w:r>
      <w:r>
        <w:rPr>
          <w:rFonts w:hint="eastAsia" w:cs="Times New Roman"/>
          <w:b w:val="0"/>
          <w:bCs w:val="0"/>
          <w:color w:val="auto"/>
          <w:kern w:val="2"/>
          <w:sz w:val="24"/>
          <w:szCs w:val="21"/>
          <w:highlight w:val="none"/>
          <w:lang w:val="en-US" w:eastAsia="zh-CN" w:bidi="ar-SA"/>
        </w:rPr>
        <w:t>有重庆本地的</w:t>
      </w:r>
      <w:r>
        <w:rPr>
          <w:rFonts w:hint="eastAsia" w:ascii="Times New Roman" w:hAnsi="Times New Roman" w:eastAsia="宋体" w:cs="Times New Roman"/>
          <w:b w:val="0"/>
          <w:bCs w:val="0"/>
          <w:color w:val="auto"/>
          <w:kern w:val="2"/>
          <w:sz w:val="24"/>
          <w:szCs w:val="21"/>
          <w:highlight w:val="none"/>
          <w:lang w:val="en-US" w:eastAsia="zh-CN" w:bidi="ar-SA"/>
        </w:rPr>
        <w:t>相关系统维护技术人员、服务投诉渠道等</w:t>
      </w:r>
      <w:r>
        <w:rPr>
          <w:rFonts w:hint="eastAsia" w:ascii="宋体" w:hAnsi="宋体" w:cs="宋体"/>
          <w:color w:val="auto"/>
          <w:sz w:val="24"/>
          <w:highlight w:val="none"/>
          <w:lang w:val="en-US" w:eastAsia="zh-CN"/>
        </w:rPr>
        <w:t>。</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6.2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 </w:t>
      </w:r>
    </w:p>
    <w:p>
      <w:pPr>
        <w:adjustRightInd w:val="0"/>
        <w:snapToGrid w:val="0"/>
        <w:spacing w:line="360" w:lineRule="auto"/>
        <w:ind w:firstLine="480" w:firstLineChars="200"/>
        <w:rPr>
          <w:rFonts w:ascii="宋体" w:hAnsi="宋体" w:cs="宋体"/>
          <w:color w:val="auto"/>
          <w:sz w:val="24"/>
          <w:highlight w:val="none"/>
        </w:rPr>
      </w:pPr>
      <w:r>
        <w:rPr>
          <w:rFonts w:hint="eastAsia"/>
          <w:color w:val="auto"/>
          <w:sz w:val="24"/>
          <w:highlight w:val="none"/>
        </w:rPr>
        <w:t>6.3企业最近半年完税证明、信用证明材料（中国人民银行信用代码证+征信报告）；</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6.4年度纳税信用评价信息（可从电子税务局查询截图，需加盖公章）； </w:t>
      </w:r>
    </w:p>
    <w:p>
      <w:pPr>
        <w:adjustRightInd w:val="0"/>
        <w:snapToGrid w:val="0"/>
        <w:spacing w:line="360" w:lineRule="auto"/>
        <w:ind w:firstLine="480" w:firstLineChars="200"/>
        <w:rPr>
          <w:color w:val="auto"/>
          <w:highlight w:val="none"/>
        </w:rPr>
      </w:pPr>
      <w:r>
        <w:rPr>
          <w:rFonts w:hint="eastAsia" w:ascii="宋体" w:hAnsi="宋体" w:cs="宋体"/>
          <w:color w:val="auto"/>
          <w:sz w:val="24"/>
          <w:highlight w:val="none"/>
        </w:rPr>
        <w:t>6.5企业对外担保说明（写明贵单位对外有无对外担保和质押业务，需加盖公章）</w:t>
      </w:r>
    </w:p>
    <w:p>
      <w:pPr>
        <w:tabs>
          <w:tab w:val="left" w:pos="454"/>
        </w:tabs>
        <w:spacing w:line="360" w:lineRule="auto"/>
        <w:ind w:firstLine="480" w:firstLineChars="200"/>
        <w:rPr>
          <w:color w:val="auto"/>
          <w:sz w:val="24"/>
          <w:highlight w:val="none"/>
        </w:rPr>
      </w:pPr>
      <w:r>
        <w:rPr>
          <w:rFonts w:hint="eastAsia"/>
          <w:color w:val="auto"/>
          <w:sz w:val="24"/>
          <w:highlight w:val="none"/>
        </w:rPr>
        <w:t>6.6</w:t>
      </w:r>
      <w:r>
        <w:rPr>
          <w:color w:val="auto"/>
          <w:sz w:val="24"/>
          <w:highlight w:val="none"/>
        </w:rPr>
        <w:t>投标委托授权</w:t>
      </w:r>
    </w:p>
    <w:p>
      <w:pPr>
        <w:tabs>
          <w:tab w:val="left" w:pos="1050"/>
          <w:tab w:val="left" w:pos="1470"/>
        </w:tabs>
        <w:spacing w:line="360" w:lineRule="auto"/>
        <w:ind w:firstLine="720" w:firstLineChars="300"/>
        <w:rPr>
          <w:color w:val="auto"/>
          <w:sz w:val="24"/>
          <w:highlight w:val="none"/>
        </w:rPr>
      </w:pPr>
      <w:r>
        <w:rPr>
          <w:rFonts w:hint="eastAsia"/>
          <w:color w:val="auto"/>
          <w:sz w:val="24"/>
          <w:highlight w:val="none"/>
        </w:rPr>
        <w:t>6.6.1</w:t>
      </w:r>
      <w:r>
        <w:rPr>
          <w:color w:val="auto"/>
          <w:sz w:val="24"/>
          <w:highlight w:val="none"/>
        </w:rPr>
        <w:t>如投标人代表不是法定代表人，须持有</w:t>
      </w:r>
      <w:r>
        <w:rPr>
          <w:rFonts w:hint="eastAsia"/>
          <w:color w:val="auto"/>
          <w:sz w:val="24"/>
          <w:highlight w:val="none"/>
        </w:rPr>
        <w:t>《法定代表人身份证明书》（附件一）、</w:t>
      </w:r>
      <w:r>
        <w:rPr>
          <w:color w:val="auto"/>
          <w:sz w:val="24"/>
          <w:highlight w:val="none"/>
        </w:rPr>
        <w:t>《法定代表人授权委托书》</w:t>
      </w:r>
      <w:r>
        <w:rPr>
          <w:rFonts w:hint="eastAsia"/>
          <w:color w:val="auto"/>
          <w:sz w:val="24"/>
          <w:highlight w:val="none"/>
        </w:rPr>
        <w:t>（附件二）</w:t>
      </w:r>
      <w:r>
        <w:rPr>
          <w:color w:val="auto"/>
          <w:sz w:val="24"/>
          <w:highlight w:val="none"/>
        </w:rPr>
        <w:t>。</w:t>
      </w:r>
    </w:p>
    <w:p>
      <w:pPr>
        <w:tabs>
          <w:tab w:val="left" w:pos="1050"/>
          <w:tab w:val="left" w:pos="1470"/>
        </w:tabs>
        <w:spacing w:line="360" w:lineRule="auto"/>
        <w:ind w:firstLine="720" w:firstLineChars="300"/>
        <w:rPr>
          <w:color w:val="auto"/>
          <w:sz w:val="24"/>
          <w:highlight w:val="none"/>
        </w:rPr>
      </w:pPr>
      <w:r>
        <w:rPr>
          <w:rFonts w:hint="eastAsia"/>
          <w:color w:val="auto"/>
          <w:sz w:val="24"/>
          <w:highlight w:val="none"/>
        </w:rPr>
        <w:t>6.6</w:t>
      </w:r>
      <w:r>
        <w:rPr>
          <w:color w:val="auto"/>
          <w:sz w:val="24"/>
          <w:highlight w:val="none"/>
        </w:rPr>
        <w:t xml:space="preserve">.2 </w:t>
      </w:r>
      <w:r>
        <w:rPr>
          <w:rFonts w:hint="eastAsia"/>
          <w:color w:val="auto"/>
          <w:sz w:val="24"/>
          <w:highlight w:val="none"/>
        </w:rPr>
        <w:t>现场投标</w:t>
      </w:r>
      <w:r>
        <w:rPr>
          <w:color w:val="auto"/>
          <w:sz w:val="24"/>
          <w:highlight w:val="none"/>
        </w:rPr>
        <w:t>投标人代表需持有效身份证件原件进行投标</w:t>
      </w:r>
      <w:r>
        <w:rPr>
          <w:rFonts w:hint="eastAsia"/>
          <w:color w:val="auto"/>
          <w:sz w:val="24"/>
          <w:highlight w:val="none"/>
        </w:rPr>
        <w:t>，若线上参与，</w:t>
      </w:r>
      <w:r>
        <w:rPr>
          <w:color w:val="auto"/>
          <w:sz w:val="24"/>
          <w:highlight w:val="none"/>
        </w:rPr>
        <w:t>投标人代表需持有效身份证件原件进行</w:t>
      </w:r>
      <w:r>
        <w:rPr>
          <w:rFonts w:hint="eastAsia"/>
          <w:color w:val="auto"/>
          <w:sz w:val="24"/>
          <w:highlight w:val="none"/>
        </w:rPr>
        <w:t>线上</w:t>
      </w:r>
      <w:r>
        <w:rPr>
          <w:color w:val="auto"/>
          <w:sz w:val="24"/>
          <w:highlight w:val="none"/>
        </w:rPr>
        <w:t>投标。</w:t>
      </w:r>
    </w:p>
    <w:p>
      <w:pPr>
        <w:pStyle w:val="3"/>
        <w:rPr>
          <w:color w:val="auto"/>
          <w:highlight w:val="none"/>
        </w:rPr>
      </w:pPr>
      <w:r>
        <w:rPr>
          <w:rFonts w:hint="eastAsia"/>
          <w:color w:val="auto"/>
          <w:highlight w:val="none"/>
        </w:rPr>
        <w:t>七、</w:t>
      </w:r>
      <w:r>
        <w:rPr>
          <w:color w:val="auto"/>
          <w:highlight w:val="none"/>
        </w:rPr>
        <w:t>投标报价</w:t>
      </w:r>
    </w:p>
    <w:p>
      <w:pPr>
        <w:tabs>
          <w:tab w:val="left" w:pos="454"/>
        </w:tabs>
        <w:spacing w:line="360" w:lineRule="auto"/>
        <w:ind w:firstLine="480" w:firstLineChars="200"/>
        <w:rPr>
          <w:rFonts w:hint="eastAsia" w:eastAsia="宋体"/>
          <w:b/>
          <w:bCs/>
          <w:color w:val="auto"/>
          <w:sz w:val="24"/>
          <w:highlight w:val="none"/>
          <w:lang w:val="en-US" w:eastAsia="zh-CN"/>
        </w:rPr>
      </w:pPr>
      <w:r>
        <w:rPr>
          <w:rFonts w:hint="eastAsia"/>
          <w:color w:val="auto"/>
          <w:sz w:val="24"/>
          <w:highlight w:val="none"/>
        </w:rPr>
        <w:t>7</w:t>
      </w:r>
      <w:r>
        <w:rPr>
          <w:color w:val="auto"/>
          <w:sz w:val="24"/>
          <w:highlight w:val="none"/>
        </w:rPr>
        <w:t>.1 以附件</w:t>
      </w:r>
      <w:r>
        <w:rPr>
          <w:rFonts w:hint="eastAsia"/>
          <w:color w:val="auto"/>
          <w:sz w:val="24"/>
          <w:highlight w:val="none"/>
        </w:rPr>
        <w:t>三《</w:t>
      </w:r>
      <w:r>
        <w:rPr>
          <w:rFonts w:hint="eastAsia" w:ascii="宋体" w:hAnsi="宋体"/>
          <w:color w:val="auto"/>
          <w:sz w:val="24"/>
          <w:szCs w:val="24"/>
          <w:highlight w:val="none"/>
          <w:lang w:val="en-US" w:eastAsia="zh-CN"/>
        </w:rPr>
        <w:t>2025至2026年度弱电系统维保项目</w:t>
      </w:r>
      <w:r>
        <w:rPr>
          <w:rFonts w:hint="eastAsia"/>
          <w:color w:val="auto"/>
          <w:sz w:val="24"/>
          <w:highlight w:val="none"/>
        </w:rPr>
        <w:t>----投标函》</w:t>
      </w:r>
      <w:r>
        <w:rPr>
          <w:rFonts w:hint="eastAsia"/>
          <w:color w:val="auto"/>
          <w:sz w:val="24"/>
          <w:highlight w:val="none"/>
          <w:lang w:eastAsia="zh-CN"/>
        </w:rPr>
        <w:t>、</w:t>
      </w:r>
      <w:r>
        <w:rPr>
          <w:rFonts w:hint="eastAsia"/>
          <w:color w:val="auto"/>
          <w:sz w:val="24"/>
          <w:highlight w:val="none"/>
          <w:lang w:val="en-US" w:eastAsia="zh-CN"/>
        </w:rPr>
        <w:t>附件四《</w:t>
      </w:r>
      <w:r>
        <w:rPr>
          <w:rFonts w:hint="eastAsia" w:ascii="宋体" w:hAnsi="宋体"/>
          <w:color w:val="auto"/>
          <w:sz w:val="24"/>
          <w:szCs w:val="24"/>
          <w:highlight w:val="none"/>
          <w:lang w:val="en-US" w:eastAsia="zh-CN"/>
        </w:rPr>
        <w:t>2025至2026年度弱电系统维保项目</w:t>
      </w:r>
      <w:r>
        <w:rPr>
          <w:rFonts w:hint="eastAsia"/>
          <w:color w:val="auto"/>
          <w:sz w:val="24"/>
          <w:highlight w:val="none"/>
          <w:lang w:val="en-US" w:eastAsia="zh-CN"/>
        </w:rPr>
        <w:t>报价明细》</w:t>
      </w:r>
      <w:r>
        <w:rPr>
          <w:color w:val="auto"/>
          <w:sz w:val="24"/>
          <w:highlight w:val="none"/>
        </w:rPr>
        <w:t>格式列出</w:t>
      </w:r>
      <w:r>
        <w:rPr>
          <w:rFonts w:hint="eastAsia"/>
          <w:color w:val="auto"/>
          <w:sz w:val="24"/>
          <w:highlight w:val="none"/>
        </w:rPr>
        <w:t>，</w:t>
      </w:r>
      <w:r>
        <w:rPr>
          <w:rFonts w:hint="eastAsia"/>
          <w:color w:val="auto"/>
          <w:sz w:val="24"/>
          <w:highlight w:val="none"/>
          <w:lang w:val="en-US" w:eastAsia="zh-CN"/>
        </w:rPr>
        <w:t>报价明细中所有报价不得出现漏项，若出现漏项视为弃标，投标函、报价明细</w:t>
      </w:r>
      <w:r>
        <w:rPr>
          <w:color w:val="auto"/>
          <w:sz w:val="24"/>
          <w:highlight w:val="none"/>
        </w:rPr>
        <w:t>并由法人代表或授权代表签署</w:t>
      </w:r>
      <w:r>
        <w:rPr>
          <w:rFonts w:hint="eastAsia"/>
          <w:color w:val="auto"/>
          <w:sz w:val="24"/>
          <w:highlight w:val="none"/>
        </w:rPr>
        <w:t>后密封</w:t>
      </w:r>
      <w:r>
        <w:rPr>
          <w:rFonts w:hint="eastAsia"/>
          <w:b/>
          <w:bCs/>
          <w:color w:val="auto"/>
          <w:sz w:val="24"/>
          <w:highlight w:val="none"/>
          <w:lang w:eastAsia="zh-CN"/>
        </w:rPr>
        <w:t>。</w:t>
      </w:r>
    </w:p>
    <w:p>
      <w:pPr>
        <w:tabs>
          <w:tab w:val="left" w:pos="454"/>
        </w:tabs>
        <w:spacing w:line="360" w:lineRule="auto"/>
        <w:ind w:firstLine="480" w:firstLineChars="200"/>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 xml:space="preserve">2 </w:t>
      </w:r>
      <w:r>
        <w:rPr>
          <w:rFonts w:hint="eastAsia" w:ascii="宋体" w:hAnsi="宋体" w:cs="宋体"/>
          <w:color w:val="auto"/>
          <w:sz w:val="24"/>
          <w:highlight w:val="none"/>
        </w:rPr>
        <w:t>招标人不接受任何选择性报价，只允许有一个投标价。</w:t>
      </w:r>
    </w:p>
    <w:p>
      <w:pPr>
        <w:spacing w:line="360" w:lineRule="auto"/>
        <w:ind w:firstLine="480" w:firstLineChars="200"/>
        <w:rPr>
          <w:rFonts w:ascii="宋体" w:hAnsi="宋体" w:cs="宋体"/>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3</w:t>
      </w:r>
      <w:r>
        <w:rPr>
          <w:rFonts w:hint="eastAsia" w:ascii="宋体" w:hAnsi="宋体" w:cs="宋体"/>
          <w:color w:val="auto"/>
          <w:sz w:val="24"/>
          <w:highlight w:val="none"/>
        </w:rPr>
        <w:t>所有投标价均以人民币报价。</w:t>
      </w:r>
    </w:p>
    <w:p>
      <w:pPr>
        <w:pStyle w:val="3"/>
        <w:rPr>
          <w:color w:val="auto"/>
          <w:highlight w:val="none"/>
        </w:rPr>
      </w:pPr>
      <w:r>
        <w:rPr>
          <w:rFonts w:hint="eastAsia"/>
          <w:color w:val="auto"/>
          <w:highlight w:val="none"/>
        </w:rPr>
        <w:t>八、</w:t>
      </w:r>
      <w:r>
        <w:rPr>
          <w:color w:val="auto"/>
          <w:highlight w:val="none"/>
        </w:rPr>
        <w:t>付款方式、周期</w:t>
      </w:r>
    </w:p>
    <w:p>
      <w:pPr>
        <w:tabs>
          <w:tab w:val="left" w:pos="454"/>
        </w:tabs>
        <w:spacing w:line="360" w:lineRule="auto"/>
        <w:ind w:firstLine="480" w:firstLineChars="200"/>
        <w:rPr>
          <w:color w:val="auto"/>
          <w:sz w:val="24"/>
          <w:highlight w:val="none"/>
        </w:rPr>
      </w:pPr>
      <w:r>
        <w:rPr>
          <w:rFonts w:hint="eastAsia"/>
          <w:color w:val="auto"/>
          <w:sz w:val="24"/>
          <w:highlight w:val="none"/>
        </w:rPr>
        <w:t>8</w:t>
      </w:r>
      <w:r>
        <w:rPr>
          <w:color w:val="auto"/>
          <w:sz w:val="24"/>
          <w:highlight w:val="none"/>
        </w:rPr>
        <w:t>.1付款方式：</w:t>
      </w:r>
      <w:r>
        <w:rPr>
          <w:rFonts w:hint="eastAsia"/>
          <w:color w:val="auto"/>
          <w:sz w:val="24"/>
          <w:highlight w:val="none"/>
        </w:rPr>
        <w:t>半年期商业承兑汇票。</w:t>
      </w:r>
      <w:r>
        <w:rPr>
          <w:color w:val="auto"/>
          <w:sz w:val="24"/>
          <w:highlight w:val="none"/>
        </w:rPr>
        <w:t xml:space="preserve">                                                                         </w:t>
      </w:r>
    </w:p>
    <w:p>
      <w:pPr>
        <w:snapToGrid/>
        <w:spacing w:before="120" w:after="120" w:line="360" w:lineRule="auto"/>
        <w:ind w:firstLine="480" w:firstLineChars="200"/>
        <w:jc w:val="both"/>
        <w:rPr>
          <w:rFonts w:hint="default" w:asciiTheme="majorEastAsia" w:hAnsiTheme="majorEastAsia" w:eastAsiaTheme="majorEastAsia"/>
          <w:color w:val="auto"/>
          <w:sz w:val="24"/>
          <w:szCs w:val="24"/>
          <w:highlight w:val="none"/>
          <w:lang w:val="en-US" w:eastAsia="zh-CN"/>
        </w:rPr>
      </w:pPr>
      <w:r>
        <w:rPr>
          <w:rFonts w:hint="eastAsia"/>
          <w:color w:val="auto"/>
          <w:sz w:val="24"/>
          <w:highlight w:val="none"/>
        </w:rPr>
        <w:t>8</w:t>
      </w:r>
      <w:r>
        <w:rPr>
          <w:color w:val="auto"/>
          <w:sz w:val="24"/>
          <w:highlight w:val="none"/>
        </w:rPr>
        <w:t>.2付款进度：</w:t>
      </w:r>
      <w:r>
        <w:rPr>
          <w:rFonts w:hint="eastAsia"/>
          <w:color w:val="auto"/>
          <w:sz w:val="24"/>
          <w:highlight w:val="none"/>
          <w:lang w:val="en-US" w:eastAsia="zh-CN"/>
        </w:rPr>
        <w:t>按自然季度结算。中标方根据实际</w:t>
      </w:r>
      <w:r>
        <w:rPr>
          <w:rFonts w:hint="eastAsia"/>
          <w:color w:val="auto"/>
          <w:sz w:val="24"/>
          <w:highlight w:val="none"/>
        </w:rPr>
        <w:t>维保工作</w:t>
      </w:r>
      <w:r>
        <w:rPr>
          <w:rFonts w:hint="eastAsia"/>
          <w:color w:val="auto"/>
          <w:sz w:val="24"/>
          <w:highlight w:val="none"/>
          <w:lang w:val="en-US" w:eastAsia="zh-CN"/>
        </w:rPr>
        <w:t>量提供结算清单，经招标人确认后，中标方开具符合财务要求的增值税专用发票（设备材料类税率为13%，人工服务类税率为6%）到招标人财务挂账，挂账次月付款</w:t>
      </w:r>
      <w:r>
        <w:rPr>
          <w:rFonts w:hint="eastAsia"/>
          <w:color w:val="auto"/>
          <w:sz w:val="24"/>
          <w:highlight w:val="none"/>
        </w:rPr>
        <w:t>。</w:t>
      </w:r>
    </w:p>
    <w:p>
      <w:pPr>
        <w:numPr>
          <w:ilvl w:val="0"/>
          <w:numId w:val="0"/>
        </w:numPr>
        <w:tabs>
          <w:tab w:val="left" w:pos="454"/>
        </w:tabs>
        <w:spacing w:line="360" w:lineRule="auto"/>
        <w:rPr>
          <w:color w:val="auto"/>
          <w:sz w:val="24"/>
          <w:highlight w:val="none"/>
        </w:rPr>
      </w:pPr>
      <w:r>
        <w:rPr>
          <w:rFonts w:hint="eastAsia" w:ascii="宋体" w:hAnsi="宋体"/>
          <w:b/>
          <w:color w:val="auto"/>
          <w:sz w:val="24"/>
          <w:szCs w:val="28"/>
          <w:highlight w:val="none"/>
          <w:lang w:val="en-US" w:eastAsia="zh-CN"/>
        </w:rPr>
        <w:t>九、</w:t>
      </w:r>
      <w:r>
        <w:rPr>
          <w:rFonts w:ascii="宋体" w:hAnsi="宋体"/>
          <w:b/>
          <w:color w:val="auto"/>
          <w:sz w:val="24"/>
          <w:szCs w:val="28"/>
          <w:highlight w:val="none"/>
        </w:rPr>
        <w:t>投标保证金：</w:t>
      </w:r>
      <w:r>
        <w:rPr>
          <w:color w:val="auto"/>
          <w:sz w:val="24"/>
          <w:highlight w:val="none"/>
        </w:rPr>
        <w:t>本项目招标要求投标人提交投标保证金：</w:t>
      </w:r>
      <w:r>
        <w:rPr>
          <w:rFonts w:hint="eastAsia" w:eastAsia="黑体"/>
          <w:b/>
          <w:bCs/>
          <w:color w:val="auto"/>
          <w:sz w:val="24"/>
          <w:highlight w:val="none"/>
          <w:u w:val="single"/>
          <w:lang w:val="en-US" w:eastAsia="zh-CN"/>
        </w:rPr>
        <w:t>伍仟</w:t>
      </w:r>
      <w:r>
        <w:rPr>
          <w:rFonts w:eastAsia="黑体"/>
          <w:b/>
          <w:bCs/>
          <w:color w:val="auto"/>
          <w:sz w:val="24"/>
          <w:highlight w:val="none"/>
          <w:u w:val="single"/>
        </w:rPr>
        <w:t>元</w:t>
      </w:r>
      <w:r>
        <w:rPr>
          <w:color w:val="auto"/>
          <w:sz w:val="24"/>
          <w:highlight w:val="none"/>
        </w:rPr>
        <w:t>。</w:t>
      </w:r>
    </w:p>
    <w:p>
      <w:pPr>
        <w:keepNext w:val="0"/>
        <w:keepLines w:val="0"/>
        <w:pageBreakBefore w:val="0"/>
        <w:widowControl w:val="0"/>
        <w:tabs>
          <w:tab w:val="left" w:pos="454"/>
        </w:tabs>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rFonts w:hint="eastAsia"/>
          <w:color w:val="auto"/>
          <w:sz w:val="24"/>
          <w:highlight w:val="none"/>
          <w:lang w:val="en-US" w:eastAsia="zh-CN"/>
        </w:rPr>
        <w:t>9</w:t>
      </w:r>
      <w:r>
        <w:rPr>
          <w:color w:val="auto"/>
          <w:sz w:val="24"/>
          <w:highlight w:val="none"/>
        </w:rPr>
        <w:t>.</w:t>
      </w:r>
      <w:r>
        <w:rPr>
          <w:rFonts w:hint="eastAsia"/>
          <w:color w:val="auto"/>
          <w:sz w:val="24"/>
          <w:highlight w:val="none"/>
          <w:lang w:val="en-US" w:eastAsia="zh-CN"/>
        </w:rPr>
        <w:t>1</w:t>
      </w:r>
      <w:r>
        <w:rPr>
          <w:color w:val="auto"/>
          <w:sz w:val="24"/>
          <w:highlight w:val="none"/>
        </w:rPr>
        <w:t>投标保证金到账时间</w:t>
      </w:r>
    </w:p>
    <w:p>
      <w:pPr>
        <w:keepNext w:val="0"/>
        <w:keepLines w:val="0"/>
        <w:pageBreakBefore w:val="0"/>
        <w:widowControl w:val="0"/>
        <w:tabs>
          <w:tab w:val="left" w:pos="454"/>
        </w:tabs>
        <w:kinsoku/>
        <w:wordWrap/>
        <w:overflowPunct/>
        <w:topLinePunct w:val="0"/>
        <w:autoSpaceDE/>
        <w:autoSpaceDN/>
        <w:bidi w:val="0"/>
        <w:adjustRightInd/>
        <w:snapToGrid/>
        <w:spacing w:line="360" w:lineRule="auto"/>
        <w:ind w:firstLine="482" w:firstLineChars="200"/>
        <w:textAlignment w:val="auto"/>
        <w:rPr>
          <w:color w:val="auto"/>
          <w:sz w:val="24"/>
          <w:highlight w:val="none"/>
        </w:rPr>
      </w:pPr>
      <w:r>
        <w:rPr>
          <w:rFonts w:eastAsia="黑体"/>
          <w:b/>
          <w:bCs/>
          <w:color w:val="auto"/>
          <w:sz w:val="24"/>
          <w:highlight w:val="none"/>
          <w:u w:val="single"/>
        </w:rPr>
        <w:t>于202</w:t>
      </w:r>
      <w:r>
        <w:rPr>
          <w:rFonts w:hint="eastAsia" w:eastAsia="黑体"/>
          <w:b/>
          <w:bCs/>
          <w:color w:val="auto"/>
          <w:sz w:val="24"/>
          <w:highlight w:val="none"/>
          <w:u w:val="single"/>
          <w:lang w:val="en-US" w:eastAsia="zh-CN"/>
        </w:rPr>
        <w:t>5</w:t>
      </w:r>
      <w:r>
        <w:rPr>
          <w:rFonts w:eastAsia="黑体"/>
          <w:b/>
          <w:bCs/>
          <w:color w:val="auto"/>
          <w:sz w:val="24"/>
          <w:highlight w:val="none"/>
          <w:u w:val="single"/>
        </w:rPr>
        <w:t>年</w:t>
      </w:r>
      <w:r>
        <w:rPr>
          <w:rFonts w:hint="eastAsia" w:eastAsia="黑体"/>
          <w:b/>
          <w:bCs/>
          <w:color w:val="auto"/>
          <w:sz w:val="24"/>
          <w:highlight w:val="none"/>
          <w:u w:val="single"/>
          <w:lang w:val="en-US" w:eastAsia="zh-CN"/>
        </w:rPr>
        <w:t>5</w:t>
      </w:r>
      <w:r>
        <w:rPr>
          <w:rFonts w:eastAsia="黑体"/>
          <w:b/>
          <w:bCs/>
          <w:color w:val="auto"/>
          <w:sz w:val="24"/>
          <w:highlight w:val="none"/>
          <w:u w:val="single"/>
        </w:rPr>
        <w:t>月</w:t>
      </w:r>
      <w:r>
        <w:rPr>
          <w:rFonts w:hint="eastAsia" w:eastAsia="黑体"/>
          <w:b/>
          <w:bCs/>
          <w:color w:val="auto"/>
          <w:sz w:val="24"/>
          <w:highlight w:val="none"/>
          <w:u w:val="single"/>
          <w:lang w:val="en-US" w:eastAsia="zh-CN"/>
        </w:rPr>
        <w:t>11</w:t>
      </w:r>
      <w:r>
        <w:rPr>
          <w:rFonts w:eastAsia="黑体"/>
          <w:b/>
          <w:bCs/>
          <w:color w:val="auto"/>
          <w:sz w:val="24"/>
          <w:highlight w:val="none"/>
          <w:u w:val="single"/>
        </w:rPr>
        <w:t>日1</w:t>
      </w:r>
      <w:r>
        <w:rPr>
          <w:rFonts w:hint="eastAsia" w:eastAsia="黑体"/>
          <w:b/>
          <w:bCs/>
          <w:color w:val="auto"/>
          <w:sz w:val="24"/>
          <w:highlight w:val="none"/>
          <w:u w:val="single"/>
          <w:lang w:val="en-US" w:eastAsia="zh-CN"/>
        </w:rPr>
        <w:t>5</w:t>
      </w:r>
      <w:r>
        <w:rPr>
          <w:rFonts w:eastAsia="黑体"/>
          <w:b/>
          <w:bCs/>
          <w:color w:val="auto"/>
          <w:sz w:val="24"/>
          <w:highlight w:val="none"/>
          <w:u w:val="single"/>
        </w:rPr>
        <w:t>:00 时前汇入招标人账户，</w:t>
      </w:r>
      <w:r>
        <w:rPr>
          <w:b/>
          <w:color w:val="auto"/>
          <w:sz w:val="24"/>
          <w:highlight w:val="none"/>
          <w:u w:val="single"/>
        </w:rPr>
        <w:t>是否到账以招标人到银行查实的回单为准。</w:t>
      </w:r>
    </w:p>
    <w:p>
      <w:pPr>
        <w:keepNext w:val="0"/>
        <w:keepLines w:val="0"/>
        <w:pageBreakBefore w:val="0"/>
        <w:widowControl w:val="0"/>
        <w:tabs>
          <w:tab w:val="left" w:pos="454"/>
          <w:tab w:val="left" w:pos="2433"/>
        </w:tabs>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color w:val="auto"/>
          <w:sz w:val="24"/>
          <w:highlight w:val="none"/>
        </w:rPr>
        <w:t xml:space="preserve">开户银行： </w:t>
      </w:r>
      <w:r>
        <w:rPr>
          <w:rFonts w:hint="eastAsia"/>
          <w:color w:val="auto"/>
          <w:sz w:val="24"/>
          <w:highlight w:val="none"/>
        </w:rPr>
        <w:t>中国建设银行重庆南坪支行</w:t>
      </w:r>
    </w:p>
    <w:p>
      <w:pPr>
        <w:keepNext w:val="0"/>
        <w:keepLines w:val="0"/>
        <w:pageBreakBefore w:val="0"/>
        <w:widowControl w:val="0"/>
        <w:tabs>
          <w:tab w:val="left" w:pos="454"/>
          <w:tab w:val="left" w:pos="2433"/>
        </w:tabs>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color w:val="auto"/>
          <w:sz w:val="24"/>
          <w:highlight w:val="none"/>
        </w:rPr>
        <w:t>户    名：重汽（重庆）轻型汽车有限公司</w:t>
      </w:r>
    </w:p>
    <w:p>
      <w:pPr>
        <w:keepNext w:val="0"/>
        <w:keepLines w:val="0"/>
        <w:pageBreakBefore w:val="0"/>
        <w:widowControl w:val="0"/>
        <w:tabs>
          <w:tab w:val="left" w:pos="454"/>
          <w:tab w:val="left" w:pos="2433"/>
        </w:tabs>
        <w:kinsoku/>
        <w:wordWrap/>
        <w:overflowPunct/>
        <w:topLinePunct w:val="0"/>
        <w:autoSpaceDE/>
        <w:autoSpaceDN/>
        <w:bidi w:val="0"/>
        <w:adjustRightInd/>
        <w:snapToGrid/>
        <w:spacing w:line="360" w:lineRule="auto"/>
        <w:ind w:firstLine="480" w:firstLineChars="200"/>
        <w:textAlignment w:val="auto"/>
        <w:rPr>
          <w:rFonts w:hint="default" w:ascii="sans-serif" w:hAnsi="sans-serif" w:eastAsia="宋体" w:cs="sans-serif"/>
          <w:i w:val="0"/>
          <w:iCs w:val="0"/>
          <w:caps w:val="0"/>
          <w:color w:val="auto"/>
          <w:spacing w:val="-1"/>
          <w:sz w:val="18"/>
          <w:szCs w:val="18"/>
          <w:highlight w:val="none"/>
          <w:shd w:val="clear" w:fill="FFFFFF"/>
          <w:lang w:val="en-US" w:eastAsia="zh-CN"/>
        </w:rPr>
      </w:pPr>
      <w:r>
        <w:rPr>
          <w:color w:val="auto"/>
          <w:sz w:val="24"/>
          <w:highlight w:val="none"/>
        </w:rPr>
        <w:t>帐    号：</w:t>
      </w:r>
      <w:r>
        <w:rPr>
          <w:rFonts w:hint="eastAsia"/>
          <w:color w:val="auto"/>
          <w:sz w:val="24"/>
          <w:highlight w:val="none"/>
          <w:lang w:val="en-US" w:eastAsia="zh-CN"/>
        </w:rPr>
        <w:t>50001073600050240330</w:t>
      </w:r>
    </w:p>
    <w:p>
      <w:pPr>
        <w:keepNext w:val="0"/>
        <w:keepLines w:val="0"/>
        <w:pageBreakBefore w:val="0"/>
        <w:widowControl w:val="0"/>
        <w:tabs>
          <w:tab w:val="left" w:pos="454"/>
          <w:tab w:val="left" w:pos="2433"/>
        </w:tabs>
        <w:kinsoku/>
        <w:wordWrap/>
        <w:overflowPunct/>
        <w:topLinePunct w:val="0"/>
        <w:autoSpaceDE/>
        <w:autoSpaceDN/>
        <w:bidi w:val="0"/>
        <w:adjustRightInd/>
        <w:snapToGrid/>
        <w:spacing w:line="360" w:lineRule="auto"/>
        <w:ind w:firstLine="482" w:firstLineChars="200"/>
        <w:textAlignment w:val="auto"/>
        <w:rPr>
          <w:color w:val="auto"/>
          <w:sz w:val="24"/>
          <w:highlight w:val="none"/>
        </w:rPr>
      </w:pPr>
      <w:r>
        <w:rPr>
          <w:rFonts w:eastAsia="黑体"/>
          <w:b/>
          <w:bCs/>
          <w:color w:val="auto"/>
          <w:sz w:val="24"/>
          <w:highlight w:val="none"/>
          <w:u w:val="single"/>
        </w:rPr>
        <w:t>投标人须在付款凭证备注栏中注明“</w:t>
      </w:r>
      <w:r>
        <w:rPr>
          <w:rFonts w:ascii="Times New Roman" w:hAnsi="Times New Roman" w:eastAsia="黑体" w:cs="Times New Roman"/>
          <w:b/>
          <w:bCs/>
          <w:color w:val="auto"/>
          <w:sz w:val="24"/>
          <w:highlight w:val="none"/>
          <w:u w:val="single"/>
        </w:rPr>
        <w:t xml:space="preserve"> </w:t>
      </w:r>
      <w:r>
        <w:rPr>
          <w:rFonts w:hint="eastAsia" w:ascii="Times New Roman" w:hAnsi="Times New Roman" w:eastAsia="黑体" w:cs="Times New Roman"/>
          <w:b/>
          <w:bCs/>
          <w:color w:val="auto"/>
          <w:sz w:val="24"/>
          <w:highlight w:val="none"/>
          <w:u w:val="single"/>
          <w:lang w:val="en-US" w:eastAsia="zh-CN"/>
        </w:rPr>
        <w:t xml:space="preserve">2025至2026年度弱电系统维保项目” </w:t>
      </w:r>
      <w:r>
        <w:rPr>
          <w:rFonts w:eastAsia="黑体"/>
          <w:b/>
          <w:bCs/>
          <w:color w:val="auto"/>
          <w:sz w:val="24"/>
          <w:highlight w:val="none"/>
          <w:u w:val="single"/>
        </w:rPr>
        <w:t>投标保证金</w:t>
      </w:r>
      <w:r>
        <w:rPr>
          <w:color w:val="auto"/>
          <w:sz w:val="24"/>
          <w:highlight w:val="none"/>
        </w:rPr>
        <w:t>”。</w:t>
      </w:r>
    </w:p>
    <w:p>
      <w:pPr>
        <w:keepNext w:val="0"/>
        <w:keepLines w:val="0"/>
        <w:pageBreakBefore w:val="0"/>
        <w:widowControl w:val="0"/>
        <w:tabs>
          <w:tab w:val="left" w:pos="454"/>
          <w:tab w:val="left" w:pos="2433"/>
        </w:tabs>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rFonts w:hint="eastAsia"/>
          <w:color w:val="auto"/>
          <w:sz w:val="24"/>
          <w:highlight w:val="none"/>
          <w:lang w:val="en-US" w:eastAsia="zh-CN"/>
        </w:rPr>
        <w:t>9</w:t>
      </w:r>
      <w:r>
        <w:rPr>
          <w:color w:val="auto"/>
          <w:sz w:val="24"/>
          <w:highlight w:val="none"/>
        </w:rPr>
        <w:t>.</w:t>
      </w:r>
      <w:r>
        <w:rPr>
          <w:rFonts w:hint="eastAsia"/>
          <w:color w:val="auto"/>
          <w:sz w:val="24"/>
          <w:highlight w:val="none"/>
          <w:lang w:val="en-US" w:eastAsia="zh-CN"/>
        </w:rPr>
        <w:t>2</w:t>
      </w:r>
      <w:r>
        <w:rPr>
          <w:color w:val="auto"/>
          <w:sz w:val="24"/>
          <w:highlight w:val="none"/>
        </w:rPr>
        <w:t>缴纳投标保证金的有效收据（原件）应在递交投标文件时出示。</w:t>
      </w:r>
    </w:p>
    <w:p>
      <w:pPr>
        <w:keepNext w:val="0"/>
        <w:keepLines w:val="0"/>
        <w:pageBreakBefore w:val="0"/>
        <w:widowControl w:val="0"/>
        <w:tabs>
          <w:tab w:val="left" w:pos="454"/>
          <w:tab w:val="left" w:pos="2433"/>
        </w:tabs>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rFonts w:hint="eastAsia"/>
          <w:color w:val="auto"/>
          <w:sz w:val="24"/>
          <w:highlight w:val="none"/>
          <w:lang w:val="en-US" w:eastAsia="zh-CN"/>
        </w:rPr>
        <w:t>9</w:t>
      </w:r>
      <w:r>
        <w:rPr>
          <w:color w:val="auto"/>
          <w:sz w:val="24"/>
          <w:highlight w:val="none"/>
        </w:rPr>
        <w:t>.</w:t>
      </w:r>
      <w:r>
        <w:rPr>
          <w:rFonts w:hint="eastAsia"/>
          <w:color w:val="auto"/>
          <w:sz w:val="24"/>
          <w:highlight w:val="none"/>
          <w:lang w:val="en-US" w:eastAsia="zh-CN"/>
        </w:rPr>
        <w:t>3</w:t>
      </w:r>
      <w:r>
        <w:rPr>
          <w:color w:val="auto"/>
          <w:sz w:val="24"/>
          <w:highlight w:val="none"/>
        </w:rPr>
        <w:t>投标保证金的退还</w:t>
      </w:r>
    </w:p>
    <w:p>
      <w:pPr>
        <w:keepNext w:val="0"/>
        <w:keepLines w:val="0"/>
        <w:pageBreakBefore w:val="0"/>
        <w:widowControl w:val="0"/>
        <w:tabs>
          <w:tab w:val="left" w:pos="454"/>
          <w:tab w:val="left" w:pos="2433"/>
        </w:tabs>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color w:val="auto"/>
          <w:sz w:val="24"/>
          <w:highlight w:val="none"/>
        </w:rPr>
        <w:t>发出中标通知后30个工作日内，招标人向落标人不计息退还投标保证金；招标人向中标人在签订合同后30个工作日内不计息退还投标保证金。</w:t>
      </w:r>
    </w:p>
    <w:p>
      <w:pPr>
        <w:keepNext w:val="0"/>
        <w:keepLines w:val="0"/>
        <w:pageBreakBefore w:val="0"/>
        <w:widowControl w:val="0"/>
        <w:tabs>
          <w:tab w:val="left" w:pos="454"/>
          <w:tab w:val="left" w:pos="2433"/>
        </w:tabs>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u w:val="single"/>
        </w:rPr>
      </w:pPr>
      <w:r>
        <w:rPr>
          <w:rFonts w:hint="eastAsia"/>
          <w:color w:val="auto"/>
          <w:sz w:val="24"/>
          <w:highlight w:val="none"/>
          <w:u w:val="single"/>
        </w:rPr>
        <w:t>发生以下情况时，招标人有权没收投标保证金：</w:t>
      </w:r>
    </w:p>
    <w:p>
      <w:pPr>
        <w:keepNext w:val="0"/>
        <w:keepLines w:val="0"/>
        <w:pageBreakBefore w:val="0"/>
        <w:widowControl w:val="0"/>
        <w:tabs>
          <w:tab w:val="left" w:pos="454"/>
          <w:tab w:val="left" w:pos="2433"/>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1、投标人</w:t>
      </w:r>
      <w:r>
        <w:rPr>
          <w:rFonts w:hint="eastAsia" w:ascii="Times New Roman" w:hAnsi="Times New Roman" w:eastAsia="宋体" w:cs="Times New Roman"/>
          <w:color w:val="auto"/>
          <w:sz w:val="24"/>
          <w:highlight w:val="none"/>
        </w:rPr>
        <w:t>在提交响应文件截止时间后撤回响应文件的</w:t>
      </w:r>
      <w:r>
        <w:rPr>
          <w:rFonts w:hint="eastAsia" w:cs="Times New Roman"/>
          <w:color w:val="auto"/>
          <w:sz w:val="24"/>
          <w:highlight w:val="none"/>
          <w:lang w:eastAsia="zh-CN"/>
        </w:rPr>
        <w:t>。</w:t>
      </w:r>
    </w:p>
    <w:p>
      <w:pPr>
        <w:keepNext w:val="0"/>
        <w:keepLines w:val="0"/>
        <w:pageBreakBefore w:val="0"/>
        <w:widowControl w:val="0"/>
        <w:tabs>
          <w:tab w:val="left" w:pos="454"/>
          <w:tab w:val="left" w:pos="2433"/>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2、投标人</w:t>
      </w:r>
      <w:r>
        <w:rPr>
          <w:rFonts w:hint="eastAsia" w:ascii="Times New Roman" w:hAnsi="Times New Roman" w:eastAsia="宋体" w:cs="Times New Roman"/>
          <w:color w:val="auto"/>
          <w:sz w:val="24"/>
          <w:highlight w:val="none"/>
        </w:rPr>
        <w:t>在响应文件中提供虚假材料的</w:t>
      </w:r>
      <w:r>
        <w:rPr>
          <w:rFonts w:hint="eastAsia" w:cs="Times New Roman"/>
          <w:color w:val="auto"/>
          <w:sz w:val="24"/>
          <w:highlight w:val="none"/>
          <w:lang w:eastAsia="zh-CN"/>
        </w:rPr>
        <w:t>。</w:t>
      </w:r>
    </w:p>
    <w:p>
      <w:pPr>
        <w:keepNext w:val="0"/>
        <w:keepLines w:val="0"/>
        <w:pageBreakBefore w:val="0"/>
        <w:widowControl w:val="0"/>
        <w:tabs>
          <w:tab w:val="left" w:pos="454"/>
          <w:tab w:val="left" w:pos="2433"/>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3、</w:t>
      </w:r>
      <w:r>
        <w:rPr>
          <w:rFonts w:hint="eastAsia" w:ascii="Times New Roman" w:hAnsi="Times New Roman" w:eastAsia="宋体" w:cs="Times New Roman"/>
          <w:color w:val="auto"/>
          <w:sz w:val="24"/>
          <w:highlight w:val="none"/>
        </w:rPr>
        <w:t>除因不可抗力或谈判文件、</w:t>
      </w:r>
      <w:r>
        <w:rPr>
          <w:rFonts w:hint="eastAsia" w:ascii="Times New Roman" w:hAnsi="Times New Roman" w:eastAsia="宋体" w:cs="Times New Roman"/>
          <w:color w:val="auto"/>
          <w:sz w:val="24"/>
          <w:highlight w:val="none"/>
          <w:lang w:val="en-US" w:eastAsia="zh-CN"/>
        </w:rPr>
        <w:t>招标文件</w:t>
      </w:r>
      <w:r>
        <w:rPr>
          <w:rFonts w:hint="eastAsia" w:ascii="Times New Roman" w:hAnsi="Times New Roman" w:eastAsia="宋体" w:cs="Times New Roman"/>
          <w:color w:val="auto"/>
          <w:sz w:val="24"/>
          <w:highlight w:val="none"/>
        </w:rPr>
        <w:t>认可的情形以外，</w:t>
      </w:r>
      <w:r>
        <w:rPr>
          <w:rFonts w:hint="eastAsia" w:ascii="Times New Roman" w:hAnsi="Times New Roman" w:eastAsia="宋体" w:cs="Times New Roman"/>
          <w:color w:val="auto"/>
          <w:sz w:val="24"/>
          <w:highlight w:val="none"/>
          <w:lang w:val="en-US" w:eastAsia="zh-CN"/>
        </w:rPr>
        <w:t>中标后，中标人</w:t>
      </w:r>
      <w:r>
        <w:rPr>
          <w:rFonts w:hint="eastAsia" w:ascii="Times New Roman" w:hAnsi="Times New Roman" w:eastAsia="宋体" w:cs="Times New Roman"/>
          <w:color w:val="auto"/>
          <w:sz w:val="24"/>
          <w:highlight w:val="none"/>
        </w:rPr>
        <w:t>不与</w:t>
      </w:r>
      <w:r>
        <w:rPr>
          <w:rFonts w:hint="eastAsia" w:ascii="Times New Roman" w:hAnsi="Times New Roman" w:eastAsia="宋体" w:cs="Times New Roman"/>
          <w:color w:val="auto"/>
          <w:sz w:val="24"/>
          <w:highlight w:val="none"/>
          <w:lang w:val="en-US" w:eastAsia="zh-CN"/>
        </w:rPr>
        <w:t>招标</w:t>
      </w:r>
      <w:r>
        <w:rPr>
          <w:rFonts w:hint="eastAsia" w:ascii="Times New Roman" w:hAnsi="Times New Roman" w:eastAsia="宋体" w:cs="Times New Roman"/>
          <w:color w:val="auto"/>
          <w:sz w:val="24"/>
          <w:highlight w:val="none"/>
        </w:rPr>
        <w:t>人签订合同的</w:t>
      </w:r>
      <w:r>
        <w:rPr>
          <w:rFonts w:hint="eastAsia" w:cs="Times New Roman"/>
          <w:color w:val="auto"/>
          <w:sz w:val="24"/>
          <w:highlight w:val="none"/>
          <w:lang w:eastAsia="zh-CN"/>
        </w:rPr>
        <w:t>。</w:t>
      </w:r>
    </w:p>
    <w:p>
      <w:pPr>
        <w:keepNext w:val="0"/>
        <w:keepLines w:val="0"/>
        <w:pageBreakBefore w:val="0"/>
        <w:widowControl w:val="0"/>
        <w:tabs>
          <w:tab w:val="left" w:pos="454"/>
          <w:tab w:val="left" w:pos="2433"/>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4、投标人</w:t>
      </w:r>
      <w:r>
        <w:rPr>
          <w:rFonts w:hint="eastAsia" w:ascii="Times New Roman" w:hAnsi="Times New Roman" w:eastAsia="宋体" w:cs="Times New Roman"/>
          <w:color w:val="auto"/>
          <w:sz w:val="24"/>
          <w:highlight w:val="none"/>
        </w:rPr>
        <w:t>与</w:t>
      </w:r>
      <w:r>
        <w:rPr>
          <w:rFonts w:hint="eastAsia" w:ascii="Times New Roman" w:hAnsi="Times New Roman" w:eastAsia="宋体" w:cs="Times New Roman"/>
          <w:color w:val="auto"/>
          <w:sz w:val="24"/>
          <w:highlight w:val="none"/>
          <w:lang w:val="en-US" w:eastAsia="zh-CN"/>
        </w:rPr>
        <w:t>招标</w:t>
      </w:r>
      <w:r>
        <w:rPr>
          <w:rFonts w:hint="eastAsia" w:ascii="Times New Roman" w:hAnsi="Times New Roman" w:eastAsia="宋体" w:cs="Times New Roman"/>
          <w:color w:val="auto"/>
          <w:sz w:val="24"/>
          <w:highlight w:val="none"/>
        </w:rPr>
        <w:t>人、其他</w:t>
      </w:r>
      <w:r>
        <w:rPr>
          <w:rFonts w:hint="eastAsia" w:ascii="Times New Roman" w:hAnsi="Times New Roman" w:eastAsia="宋体" w:cs="Times New Roman"/>
          <w:color w:val="auto"/>
          <w:sz w:val="24"/>
          <w:highlight w:val="none"/>
          <w:lang w:val="en-US" w:eastAsia="zh-CN"/>
        </w:rPr>
        <w:t>投标人</w:t>
      </w:r>
      <w:r>
        <w:rPr>
          <w:rFonts w:hint="eastAsia" w:ascii="Times New Roman" w:hAnsi="Times New Roman" w:eastAsia="宋体" w:cs="Times New Roman"/>
          <w:color w:val="auto"/>
          <w:sz w:val="24"/>
          <w:highlight w:val="none"/>
        </w:rPr>
        <w:t>或者采购代理机构恶意串通、围标、陪标的</w:t>
      </w:r>
      <w:r>
        <w:rPr>
          <w:rFonts w:hint="eastAsia" w:cs="Times New Roman"/>
          <w:color w:val="auto"/>
          <w:sz w:val="24"/>
          <w:highlight w:val="none"/>
          <w:lang w:eastAsia="zh-CN"/>
        </w:rPr>
        <w:t>。</w:t>
      </w:r>
    </w:p>
    <w:p>
      <w:pPr>
        <w:keepNext w:val="0"/>
        <w:keepLines w:val="0"/>
        <w:pageBreakBefore w:val="0"/>
        <w:widowControl w:val="0"/>
        <w:tabs>
          <w:tab w:val="left" w:pos="454"/>
          <w:tab w:val="left" w:pos="2433"/>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5、投标人</w:t>
      </w:r>
      <w:r>
        <w:rPr>
          <w:rFonts w:hint="eastAsia" w:ascii="Times New Roman" w:hAnsi="Times New Roman" w:eastAsia="宋体" w:cs="Times New Roman"/>
          <w:color w:val="auto"/>
          <w:sz w:val="24"/>
          <w:highlight w:val="none"/>
        </w:rPr>
        <w:t>有违约违规行为或被投诉、举报的，在调查处理期间，保证金暂不退还，待调查处理结束后按有关规定处理。</w:t>
      </w:r>
    </w:p>
    <w:p>
      <w:pPr>
        <w:keepNext w:val="0"/>
        <w:keepLines w:val="0"/>
        <w:pageBreakBefore w:val="0"/>
        <w:widowControl w:val="0"/>
        <w:numPr>
          <w:ilvl w:val="0"/>
          <w:numId w:val="0"/>
        </w:numPr>
        <w:tabs>
          <w:tab w:val="left" w:pos="454"/>
        </w:tabs>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rFonts w:hint="eastAsia" w:ascii="Times New Roman" w:hAnsi="Times New Roman" w:eastAsia="宋体" w:cs="Times New Roman"/>
          <w:color w:val="auto"/>
          <w:sz w:val="24"/>
          <w:highlight w:val="none"/>
          <w:lang w:val="en-US" w:eastAsia="zh-CN"/>
        </w:rPr>
        <w:t>6、</w:t>
      </w:r>
      <w:r>
        <w:rPr>
          <w:rFonts w:hint="eastAsia" w:ascii="Times New Roman" w:hAnsi="Times New Roman" w:eastAsia="宋体" w:cs="Times New Roman"/>
          <w:color w:val="auto"/>
          <w:sz w:val="24"/>
          <w:highlight w:val="none"/>
        </w:rPr>
        <w:t>截至开标前3天，投标人无正当理由、未以书面形式向招标人递交说明而在投标截止日不来投标的。</w:t>
      </w:r>
      <w:r>
        <w:rPr>
          <w:rFonts w:hint="eastAsia" w:ascii="Times New Roman" w:hAnsi="Times New Roman" w:eastAsia="宋体" w:cs="Times New Roman"/>
          <w:color w:val="auto"/>
          <w:sz w:val="24"/>
          <w:highlight w:val="none"/>
        </w:rPr>
        <w:br w:type="textWrapping"/>
      </w:r>
      <w:r>
        <w:rPr>
          <w:rFonts w:hint="eastAsia" w:ascii="Times New Roman" w:hAnsi="Times New Roman" w:eastAsia="宋体" w:cs="Times New Roman"/>
          <w:color w:val="auto"/>
          <w:sz w:val="24"/>
          <w:highlight w:val="none"/>
          <w:lang w:val="en-US" w:eastAsia="zh-CN"/>
        </w:rPr>
        <w:t xml:space="preserve">    7、</w:t>
      </w:r>
      <w:r>
        <w:rPr>
          <w:rFonts w:hint="eastAsia" w:ascii="Times New Roman" w:hAnsi="Times New Roman" w:eastAsia="宋体" w:cs="Times New Roman"/>
          <w:color w:val="auto"/>
          <w:sz w:val="24"/>
          <w:highlight w:val="none"/>
        </w:rPr>
        <w:t>自中标通知书发出之日起30日内，中标人无正当理</w:t>
      </w:r>
      <w:r>
        <w:rPr>
          <w:rFonts w:hint="eastAsia" w:ascii="Times New Roman" w:hAnsi="Times New Roman" w:eastAsia="宋体" w:cs="Times New Roman"/>
          <w:color w:val="auto"/>
          <w:sz w:val="24"/>
          <w:highlight w:val="none"/>
          <w:lang w:val="en-US" w:eastAsia="zh-CN"/>
        </w:rPr>
        <w:t>不</w:t>
      </w:r>
      <w:r>
        <w:rPr>
          <w:rFonts w:hint="eastAsia" w:ascii="Times New Roman" w:hAnsi="Times New Roman" w:eastAsia="宋体" w:cs="Times New Roman"/>
          <w:color w:val="auto"/>
          <w:sz w:val="24"/>
          <w:highlight w:val="none"/>
        </w:rPr>
        <w:t>签订合同的</w:t>
      </w:r>
      <w:r>
        <w:rPr>
          <w:rFonts w:hint="eastAsia" w:ascii="Times New Roman" w:hAnsi="Times New Roman" w:eastAsia="宋体" w:cs="Times New Roman"/>
          <w:color w:val="auto"/>
          <w:sz w:val="24"/>
          <w:highlight w:val="none"/>
          <w:lang w:eastAsia="zh-CN"/>
        </w:rPr>
        <w:t>。</w:t>
      </w:r>
    </w:p>
    <w:p>
      <w:pPr>
        <w:pStyle w:val="3"/>
        <w:rPr>
          <w:color w:val="auto"/>
          <w:highlight w:val="none"/>
        </w:rPr>
      </w:pPr>
      <w:r>
        <w:rPr>
          <w:rFonts w:hint="eastAsia"/>
          <w:color w:val="auto"/>
          <w:highlight w:val="none"/>
          <w:lang w:val="en-US" w:eastAsia="zh-CN"/>
        </w:rPr>
        <w:t>十</w:t>
      </w:r>
      <w:r>
        <w:rPr>
          <w:rFonts w:hint="eastAsia"/>
          <w:color w:val="auto"/>
          <w:highlight w:val="none"/>
        </w:rPr>
        <w:t>、</w:t>
      </w:r>
      <w:r>
        <w:rPr>
          <w:color w:val="auto"/>
          <w:highlight w:val="none"/>
        </w:rPr>
        <w:t>中标</w:t>
      </w:r>
    </w:p>
    <w:p>
      <w:pPr>
        <w:spacing w:line="360" w:lineRule="auto"/>
        <w:ind w:firstLine="480" w:firstLineChars="200"/>
        <w:rPr>
          <w:color w:val="auto"/>
          <w:sz w:val="24"/>
          <w:highlight w:val="none"/>
        </w:rPr>
      </w:pPr>
      <w:r>
        <w:rPr>
          <w:rFonts w:hint="eastAsia"/>
          <w:color w:val="auto"/>
          <w:sz w:val="24"/>
          <w:highlight w:val="none"/>
          <w:lang w:val="en-US" w:eastAsia="zh-CN"/>
        </w:rPr>
        <w:t>10</w:t>
      </w:r>
      <w:r>
        <w:rPr>
          <w:color w:val="auto"/>
          <w:sz w:val="24"/>
          <w:highlight w:val="none"/>
        </w:rPr>
        <w:t>.1评标定标后，招标人将以邮件或电话通知的形式通知中标</w:t>
      </w:r>
      <w:r>
        <w:rPr>
          <w:rFonts w:hint="eastAsia"/>
          <w:color w:val="auto"/>
          <w:sz w:val="24"/>
          <w:highlight w:val="none"/>
        </w:rPr>
        <w:t>单位。</w:t>
      </w:r>
    </w:p>
    <w:p>
      <w:pPr>
        <w:spacing w:line="360" w:lineRule="auto"/>
        <w:ind w:firstLine="480" w:firstLineChars="200"/>
        <w:rPr>
          <w:color w:val="auto"/>
          <w:sz w:val="24"/>
          <w:highlight w:val="none"/>
        </w:rPr>
      </w:pPr>
      <w:r>
        <w:rPr>
          <w:rFonts w:hint="eastAsia"/>
          <w:color w:val="auto"/>
          <w:sz w:val="24"/>
          <w:highlight w:val="none"/>
          <w:lang w:val="en-US" w:eastAsia="zh-CN"/>
        </w:rPr>
        <w:t>10</w:t>
      </w:r>
      <w:r>
        <w:rPr>
          <w:color w:val="auto"/>
          <w:sz w:val="24"/>
          <w:highlight w:val="none"/>
        </w:rPr>
        <w:t>.2</w:t>
      </w:r>
      <w:r>
        <w:rPr>
          <w:color w:val="auto"/>
          <w:sz w:val="24"/>
          <w:szCs w:val="24"/>
          <w:highlight w:val="none"/>
        </w:rPr>
        <w:t>中标人无正当理由不与招标人订立合同，</w:t>
      </w:r>
      <w:r>
        <w:rPr>
          <w:rFonts w:hint="eastAsia"/>
          <w:color w:val="auto"/>
          <w:sz w:val="24"/>
          <w:szCs w:val="24"/>
          <w:highlight w:val="none"/>
        </w:rPr>
        <w:t>或</w:t>
      </w:r>
      <w:r>
        <w:rPr>
          <w:color w:val="auto"/>
          <w:sz w:val="24"/>
          <w:szCs w:val="24"/>
          <w:highlight w:val="none"/>
        </w:rPr>
        <w:t>在签订合同时向招标人提出附加条件，取消其中标资格。</w:t>
      </w:r>
    </w:p>
    <w:p>
      <w:pPr>
        <w:pStyle w:val="3"/>
        <w:rPr>
          <w:color w:val="auto"/>
          <w:highlight w:val="none"/>
        </w:rPr>
      </w:pPr>
      <w:r>
        <w:rPr>
          <w:rFonts w:hint="eastAsia"/>
          <w:color w:val="auto"/>
          <w:highlight w:val="none"/>
        </w:rPr>
        <w:t>十</w:t>
      </w:r>
      <w:r>
        <w:rPr>
          <w:rFonts w:hint="eastAsia"/>
          <w:color w:val="auto"/>
          <w:highlight w:val="none"/>
          <w:lang w:val="en-US" w:eastAsia="zh-CN"/>
        </w:rPr>
        <w:t>一</w:t>
      </w:r>
      <w:r>
        <w:rPr>
          <w:rFonts w:hint="eastAsia"/>
          <w:color w:val="auto"/>
          <w:highlight w:val="none"/>
        </w:rPr>
        <w:t>、中标人瑕疵滞后发现的处理原则</w:t>
      </w:r>
    </w:p>
    <w:p>
      <w:pPr>
        <w:spacing w:line="360" w:lineRule="auto"/>
        <w:ind w:firstLine="480" w:firstLineChars="200"/>
        <w:jc w:val="left"/>
        <w:rPr>
          <w:color w:val="auto"/>
          <w:sz w:val="24"/>
          <w:szCs w:val="24"/>
          <w:highlight w:val="none"/>
        </w:rPr>
      </w:pPr>
      <w:r>
        <w:rPr>
          <w:rFonts w:hint="eastAsia"/>
          <w:color w:val="auto"/>
          <w:sz w:val="24"/>
          <w:szCs w:val="24"/>
          <w:highlight w:val="none"/>
        </w:rPr>
        <w:t>无论基于何种原因，各项本应作为拒绝处理的情形，即便未被及时发现而使该中标人通过了资格审核、初评、现场复审、终评或其他所有相关程序，包括已签订合同，招标人有权取消其中标资格，一旦中标人被拒绝或该中标人此前的评议结果被取消，因招标产生的相关的费用以及一切损失均由中标人承担。已签订合同的，招标人有权单方解除合同，瑕疵中标人不得以此为由向招标人主张任何权利和请求。</w:t>
      </w:r>
    </w:p>
    <w:p>
      <w:pPr>
        <w:pStyle w:val="3"/>
        <w:rPr>
          <w:color w:val="auto"/>
          <w:highlight w:val="none"/>
        </w:rPr>
      </w:pPr>
      <w:r>
        <w:rPr>
          <w:rFonts w:hint="eastAsia"/>
          <w:color w:val="auto"/>
          <w:highlight w:val="none"/>
        </w:rPr>
        <w:t>十</w:t>
      </w:r>
      <w:r>
        <w:rPr>
          <w:rFonts w:hint="eastAsia"/>
          <w:color w:val="auto"/>
          <w:highlight w:val="none"/>
          <w:lang w:val="en-US" w:eastAsia="zh-CN"/>
        </w:rPr>
        <w:t>二</w:t>
      </w:r>
      <w:r>
        <w:rPr>
          <w:rFonts w:hint="eastAsia"/>
          <w:color w:val="auto"/>
          <w:highlight w:val="none"/>
        </w:rPr>
        <w:t>、废标</w:t>
      </w:r>
    </w:p>
    <w:p>
      <w:pPr>
        <w:spacing w:line="400" w:lineRule="exact"/>
        <w:ind w:firstLine="480" w:firstLineChars="200"/>
        <w:jc w:val="left"/>
        <w:rPr>
          <w:color w:val="auto"/>
          <w:sz w:val="24"/>
          <w:szCs w:val="24"/>
          <w:highlight w:val="none"/>
        </w:rPr>
      </w:pPr>
      <w:r>
        <w:rPr>
          <w:rFonts w:hint="eastAsia"/>
          <w:color w:val="auto"/>
          <w:sz w:val="24"/>
          <w:szCs w:val="24"/>
          <w:highlight w:val="none"/>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400" w:lineRule="exact"/>
        <w:ind w:firstLine="480" w:firstLineChars="200"/>
        <w:jc w:val="left"/>
        <w:rPr>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eastAsia="zh-CN"/>
        </w:rPr>
        <w:t>2</w:t>
      </w:r>
      <w:r>
        <w:rPr>
          <w:rFonts w:hint="eastAsia"/>
          <w:color w:val="auto"/>
          <w:sz w:val="24"/>
          <w:szCs w:val="24"/>
          <w:highlight w:val="none"/>
        </w:rPr>
        <w:t>.1投标人提供的有关资格、资质证明文件不合格、不真实或提供虚假投标材料；</w:t>
      </w:r>
    </w:p>
    <w:p>
      <w:pPr>
        <w:spacing w:line="400" w:lineRule="exact"/>
        <w:ind w:firstLine="480" w:firstLineChars="200"/>
        <w:jc w:val="left"/>
        <w:rPr>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eastAsia="zh-CN"/>
        </w:rPr>
        <w:t>2</w:t>
      </w:r>
      <w:r>
        <w:rPr>
          <w:rFonts w:hint="eastAsia"/>
          <w:color w:val="auto"/>
          <w:sz w:val="24"/>
          <w:szCs w:val="24"/>
          <w:highlight w:val="none"/>
        </w:rPr>
        <w:t>.2投标人在报价有效期内撤回投标；</w:t>
      </w:r>
    </w:p>
    <w:p>
      <w:pPr>
        <w:spacing w:line="400" w:lineRule="exact"/>
        <w:ind w:firstLine="480" w:firstLineChars="200"/>
        <w:jc w:val="left"/>
        <w:rPr>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eastAsia="zh-CN"/>
        </w:rPr>
        <w:t>2</w:t>
      </w:r>
      <w:r>
        <w:rPr>
          <w:rFonts w:hint="eastAsia"/>
          <w:color w:val="auto"/>
          <w:sz w:val="24"/>
          <w:szCs w:val="24"/>
          <w:highlight w:val="none"/>
        </w:rPr>
        <w:t>1.3在整个评标过程中，投标人有企图影响评标结果公正性的任何活动；</w:t>
      </w:r>
    </w:p>
    <w:p>
      <w:pPr>
        <w:spacing w:line="400" w:lineRule="exact"/>
        <w:ind w:firstLine="480" w:firstLineChars="200"/>
        <w:jc w:val="left"/>
        <w:rPr>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eastAsia="zh-CN"/>
        </w:rPr>
        <w:t>2</w:t>
      </w:r>
      <w:r>
        <w:rPr>
          <w:rFonts w:hint="eastAsia"/>
          <w:color w:val="auto"/>
          <w:sz w:val="24"/>
          <w:szCs w:val="24"/>
          <w:highlight w:val="none"/>
        </w:rPr>
        <w:t>.4投标人以任何方式诋毁其他投标人；</w:t>
      </w:r>
    </w:p>
    <w:p>
      <w:pPr>
        <w:spacing w:line="400" w:lineRule="exact"/>
        <w:ind w:firstLine="480" w:firstLineChars="200"/>
        <w:jc w:val="left"/>
        <w:rPr>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eastAsia="zh-CN"/>
        </w:rPr>
        <w:t>2</w:t>
      </w:r>
      <w:r>
        <w:rPr>
          <w:rFonts w:hint="eastAsia"/>
          <w:color w:val="auto"/>
          <w:sz w:val="24"/>
          <w:szCs w:val="24"/>
          <w:highlight w:val="none"/>
        </w:rPr>
        <w:t>.5投标人串通投标；</w:t>
      </w:r>
    </w:p>
    <w:p>
      <w:pPr>
        <w:spacing w:line="400" w:lineRule="exact"/>
        <w:ind w:firstLine="480" w:firstLineChars="200"/>
        <w:jc w:val="left"/>
        <w:rPr>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eastAsia="zh-CN"/>
        </w:rPr>
        <w:t>2</w:t>
      </w:r>
      <w:r>
        <w:rPr>
          <w:rFonts w:hint="eastAsia"/>
          <w:color w:val="auto"/>
          <w:sz w:val="24"/>
          <w:szCs w:val="24"/>
          <w:highlight w:val="none"/>
        </w:rPr>
        <w:t>.6以他人名义投标或者以其他方式弄虚作假，骗取中标的；</w:t>
      </w:r>
    </w:p>
    <w:p>
      <w:pPr>
        <w:spacing w:line="400" w:lineRule="exact"/>
        <w:ind w:firstLine="480" w:firstLineChars="200"/>
        <w:jc w:val="left"/>
        <w:rPr>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eastAsia="zh-CN"/>
        </w:rPr>
        <w:t>2</w:t>
      </w:r>
      <w:r>
        <w:rPr>
          <w:rFonts w:hint="eastAsia"/>
          <w:color w:val="auto"/>
          <w:sz w:val="24"/>
          <w:szCs w:val="24"/>
          <w:highlight w:val="none"/>
        </w:rPr>
        <w:t>.7投标人负责人为同一人或者存在控股、管理关系的不同单位；</w:t>
      </w:r>
    </w:p>
    <w:p>
      <w:pPr>
        <w:spacing w:line="400" w:lineRule="exact"/>
        <w:ind w:firstLine="480" w:firstLineChars="200"/>
        <w:jc w:val="left"/>
        <w:rPr>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eastAsia="zh-CN"/>
        </w:rPr>
        <w:t>2</w:t>
      </w:r>
      <w:r>
        <w:rPr>
          <w:rFonts w:hint="eastAsia"/>
          <w:color w:val="auto"/>
          <w:sz w:val="24"/>
          <w:szCs w:val="24"/>
          <w:highlight w:val="none"/>
        </w:rPr>
        <w:t>.8被其他投标人举报经查实属实的；</w:t>
      </w:r>
    </w:p>
    <w:p>
      <w:pPr>
        <w:spacing w:line="400" w:lineRule="exact"/>
        <w:ind w:firstLine="480" w:firstLineChars="200"/>
        <w:jc w:val="left"/>
        <w:rPr>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eastAsia="zh-CN"/>
        </w:rPr>
        <w:t>2</w:t>
      </w:r>
      <w:r>
        <w:rPr>
          <w:rFonts w:hint="eastAsia"/>
          <w:color w:val="auto"/>
          <w:sz w:val="24"/>
          <w:szCs w:val="24"/>
          <w:highlight w:val="none"/>
        </w:rPr>
        <w:t>.9法律、法规规定的其他情况。</w:t>
      </w:r>
    </w:p>
    <w:p>
      <w:pPr>
        <w:spacing w:line="400" w:lineRule="exact"/>
        <w:ind w:firstLine="480" w:firstLineChars="200"/>
        <w:jc w:val="left"/>
        <w:rPr>
          <w:color w:val="auto"/>
          <w:sz w:val="24"/>
          <w:szCs w:val="24"/>
          <w:highlight w:val="none"/>
        </w:rPr>
      </w:pPr>
      <w:r>
        <w:rPr>
          <w:rFonts w:hint="eastAsia"/>
          <w:color w:val="auto"/>
          <w:sz w:val="24"/>
          <w:szCs w:val="24"/>
          <w:highlight w:val="none"/>
        </w:rPr>
        <w:t>出现下列情形之一，招标人有权否决所有投标人的投标，并终止招标</w:t>
      </w:r>
    </w:p>
    <w:p>
      <w:pPr>
        <w:spacing w:line="400" w:lineRule="exact"/>
        <w:ind w:firstLine="480" w:firstLineChars="200"/>
        <w:jc w:val="left"/>
        <w:rPr>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eastAsia="zh-CN"/>
        </w:rPr>
        <w:t>2</w:t>
      </w:r>
      <w:r>
        <w:rPr>
          <w:rFonts w:hint="eastAsia"/>
          <w:color w:val="auto"/>
          <w:sz w:val="24"/>
          <w:szCs w:val="24"/>
          <w:highlight w:val="none"/>
        </w:rPr>
        <w:t>.10出现影响采购公正的违法、违规行为的；</w:t>
      </w:r>
    </w:p>
    <w:p>
      <w:pPr>
        <w:spacing w:line="400" w:lineRule="exact"/>
        <w:ind w:firstLine="480" w:firstLineChars="200"/>
        <w:jc w:val="left"/>
        <w:rPr>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eastAsia="zh-CN"/>
        </w:rPr>
        <w:t>2</w:t>
      </w:r>
      <w:r>
        <w:rPr>
          <w:rFonts w:hint="eastAsia"/>
          <w:color w:val="auto"/>
          <w:sz w:val="24"/>
          <w:szCs w:val="24"/>
          <w:highlight w:val="none"/>
        </w:rPr>
        <w:t>.11评标委员会经评审，认为所有投标都不符合招标文件要求的；</w:t>
      </w:r>
    </w:p>
    <w:p>
      <w:pPr>
        <w:spacing w:line="400" w:lineRule="exact"/>
        <w:ind w:firstLine="480" w:firstLineChars="200"/>
        <w:jc w:val="left"/>
        <w:rPr>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eastAsia="zh-CN"/>
        </w:rPr>
        <w:t>3</w:t>
      </w:r>
      <w:r>
        <w:rPr>
          <w:rFonts w:hint="eastAsia"/>
          <w:color w:val="auto"/>
          <w:sz w:val="24"/>
          <w:szCs w:val="24"/>
          <w:highlight w:val="none"/>
        </w:rPr>
        <w:t>.12因重大变故，采购任务取消的；</w:t>
      </w:r>
    </w:p>
    <w:p>
      <w:pPr>
        <w:spacing w:line="400" w:lineRule="exact"/>
        <w:ind w:firstLine="480" w:firstLineChars="200"/>
        <w:jc w:val="left"/>
        <w:rPr>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eastAsia="zh-CN"/>
        </w:rPr>
        <w:t>3</w:t>
      </w:r>
      <w:r>
        <w:rPr>
          <w:rFonts w:hint="eastAsia"/>
          <w:color w:val="auto"/>
          <w:sz w:val="24"/>
          <w:szCs w:val="24"/>
          <w:highlight w:val="none"/>
        </w:rPr>
        <w:t>.13评标委员会认为应当终止招标的其他情形。 </w:t>
      </w:r>
    </w:p>
    <w:p>
      <w:pPr>
        <w:pStyle w:val="3"/>
        <w:rPr>
          <w:color w:val="auto"/>
          <w:highlight w:val="none"/>
        </w:rPr>
      </w:pPr>
      <w:r>
        <w:rPr>
          <w:rFonts w:hint="eastAsia"/>
          <w:color w:val="auto"/>
          <w:highlight w:val="none"/>
        </w:rPr>
        <w:t>十</w:t>
      </w:r>
      <w:r>
        <w:rPr>
          <w:rFonts w:hint="eastAsia"/>
          <w:color w:val="auto"/>
          <w:highlight w:val="none"/>
          <w:lang w:val="en-US" w:eastAsia="zh-CN"/>
        </w:rPr>
        <w:t>三</w:t>
      </w:r>
      <w:r>
        <w:rPr>
          <w:rFonts w:hint="eastAsia"/>
          <w:color w:val="auto"/>
          <w:highlight w:val="none"/>
        </w:rPr>
        <w:t>、解释权</w:t>
      </w:r>
    </w:p>
    <w:p>
      <w:pPr>
        <w:spacing w:line="360" w:lineRule="auto"/>
        <w:ind w:firstLine="480" w:firstLineChars="200"/>
        <w:jc w:val="left"/>
        <w:rPr>
          <w:rFonts w:hint="eastAsia"/>
          <w:color w:val="auto"/>
          <w:sz w:val="24"/>
          <w:szCs w:val="24"/>
          <w:highlight w:val="none"/>
        </w:rPr>
      </w:pPr>
      <w:r>
        <w:rPr>
          <w:rFonts w:hint="eastAsia"/>
          <w:color w:val="auto"/>
          <w:sz w:val="24"/>
          <w:szCs w:val="24"/>
          <w:highlight w:val="none"/>
        </w:rPr>
        <w:t>本招标文件的最终解释权归招标人，当对一个问题有多种解释时以招标人的书面解释为准。招标文件未做明示，而又有相关法律、法规规定的，招标人对此所做解释以相关的法律、法规规定为依据。</w:t>
      </w:r>
    </w:p>
    <w:p>
      <w:pPr>
        <w:spacing w:line="360" w:lineRule="auto"/>
        <w:ind w:firstLine="480" w:firstLineChars="200"/>
        <w:jc w:val="left"/>
        <w:rPr>
          <w:color w:val="auto"/>
          <w:sz w:val="24"/>
          <w:highlight w:val="none"/>
        </w:rPr>
      </w:pPr>
      <w:r>
        <w:rPr>
          <w:rFonts w:hint="eastAsia"/>
          <w:color w:val="auto"/>
          <w:sz w:val="24"/>
          <w:highlight w:val="none"/>
        </w:rPr>
        <w:t>投标格式模板</w:t>
      </w:r>
    </w:p>
    <w:p>
      <w:pPr>
        <w:pStyle w:val="14"/>
        <w:rPr>
          <w:rFonts w:hint="eastAsia"/>
          <w:color w:val="auto"/>
          <w:sz w:val="32"/>
          <w:highlight w:val="none"/>
        </w:rPr>
      </w:pPr>
    </w:p>
    <w:p>
      <w:pPr>
        <w:pStyle w:val="14"/>
        <w:rPr>
          <w:rFonts w:hint="eastAsia"/>
          <w:color w:val="auto"/>
          <w:sz w:val="32"/>
          <w:highlight w:val="none"/>
        </w:rPr>
      </w:pPr>
    </w:p>
    <w:p>
      <w:pPr>
        <w:pStyle w:val="14"/>
        <w:rPr>
          <w:rFonts w:hint="eastAsia"/>
          <w:color w:val="auto"/>
          <w:sz w:val="32"/>
          <w:highlight w:val="none"/>
        </w:rPr>
      </w:pPr>
    </w:p>
    <w:p>
      <w:pPr>
        <w:pStyle w:val="14"/>
        <w:rPr>
          <w:rFonts w:hint="eastAsia"/>
          <w:color w:val="auto"/>
          <w:sz w:val="32"/>
          <w:highlight w:val="none"/>
        </w:rPr>
      </w:pPr>
    </w:p>
    <w:p>
      <w:pPr>
        <w:pStyle w:val="14"/>
        <w:rPr>
          <w:rFonts w:hint="eastAsia"/>
          <w:color w:val="auto"/>
          <w:sz w:val="32"/>
          <w:highlight w:val="none"/>
        </w:rPr>
      </w:pPr>
    </w:p>
    <w:p>
      <w:pPr>
        <w:pStyle w:val="14"/>
        <w:rPr>
          <w:color w:val="auto"/>
          <w:sz w:val="32"/>
          <w:highlight w:val="none"/>
        </w:rPr>
      </w:pPr>
      <w:r>
        <w:rPr>
          <w:rFonts w:hint="eastAsia"/>
          <w:color w:val="auto"/>
          <w:sz w:val="32"/>
          <w:highlight w:val="none"/>
        </w:rPr>
        <w:t>投标一览表</w:t>
      </w:r>
    </w:p>
    <w:p>
      <w:pPr>
        <w:rPr>
          <w:color w:val="auto"/>
          <w:highlight w:val="none"/>
        </w:rPr>
      </w:pPr>
    </w:p>
    <w:p>
      <w:pPr>
        <w:pStyle w:val="5"/>
        <w:rPr>
          <w:color w:val="auto"/>
          <w:highlight w:val="none"/>
        </w:rPr>
      </w:pPr>
    </w:p>
    <w:tbl>
      <w:tblPr>
        <w:tblStyle w:val="21"/>
        <w:tblW w:w="9277" w:type="dxa"/>
        <w:tblInd w:w="2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5913"/>
        <w:gridCol w:w="1219"/>
        <w:gridCol w:w="1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58" w:type="dxa"/>
            <w:vAlign w:val="center"/>
          </w:tcPr>
          <w:p>
            <w:pPr>
              <w:pStyle w:val="20"/>
              <w:spacing w:before="52"/>
              <w:ind w:left="151" w:right="1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913" w:type="dxa"/>
            <w:vAlign w:val="center"/>
          </w:tcPr>
          <w:p>
            <w:pPr>
              <w:pStyle w:val="20"/>
              <w:spacing w:before="52"/>
              <w:ind w:left="2639" w:right="25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内容 </w:t>
            </w:r>
          </w:p>
        </w:tc>
        <w:tc>
          <w:tcPr>
            <w:tcW w:w="1219" w:type="dxa"/>
          </w:tcPr>
          <w:p>
            <w:pPr>
              <w:pStyle w:val="20"/>
              <w:spacing w:before="52"/>
              <w:ind w:left="107" w:right="-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页码范围 </w:t>
            </w:r>
          </w:p>
        </w:tc>
        <w:tc>
          <w:tcPr>
            <w:tcW w:w="1387" w:type="dxa"/>
          </w:tcPr>
          <w:p>
            <w:pPr>
              <w:pStyle w:val="20"/>
              <w:spacing w:before="52"/>
              <w:ind w:left="140" w:right="1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备注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758" w:type="dxa"/>
            <w:vAlign w:val="center"/>
          </w:tcPr>
          <w:p>
            <w:pPr>
              <w:pStyle w:val="20"/>
              <w:spacing w:before="52"/>
              <w:ind w:left="144" w:right="15"/>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5913" w:type="dxa"/>
            <w:vAlign w:val="center"/>
          </w:tcPr>
          <w:p>
            <w:pPr>
              <w:pStyle w:val="20"/>
              <w:spacing w:before="52"/>
              <w:ind w:left="10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营业执照（复印件加盖公章） </w:t>
            </w:r>
          </w:p>
        </w:tc>
        <w:tc>
          <w:tcPr>
            <w:tcW w:w="1219" w:type="dxa"/>
            <w:vAlign w:val="center"/>
          </w:tcPr>
          <w:p>
            <w:pPr>
              <w:pStyle w:val="20"/>
              <w:spacing w:before="52"/>
              <w:ind w:left="107"/>
              <w:rPr>
                <w:rFonts w:hint="eastAsia" w:ascii="宋体" w:hAnsi="宋体" w:eastAsia="宋体" w:cs="宋体"/>
                <w:color w:val="auto"/>
                <w:sz w:val="24"/>
                <w:szCs w:val="24"/>
                <w:highlight w:val="none"/>
              </w:rPr>
            </w:pPr>
          </w:p>
        </w:tc>
        <w:tc>
          <w:tcPr>
            <w:tcW w:w="1387" w:type="dxa"/>
            <w:vAlign w:val="center"/>
          </w:tcPr>
          <w:p>
            <w:pPr>
              <w:pStyle w:val="20"/>
              <w:spacing w:before="55"/>
              <w:ind w:left="151" w:right="15"/>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758" w:type="dxa"/>
            <w:vAlign w:val="center"/>
          </w:tcPr>
          <w:p>
            <w:pPr>
              <w:pStyle w:val="20"/>
              <w:spacing w:before="52"/>
              <w:ind w:left="144" w:right="15"/>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5913" w:type="dxa"/>
            <w:vAlign w:val="center"/>
          </w:tcPr>
          <w:p>
            <w:pPr>
              <w:pStyle w:val="20"/>
              <w:spacing w:before="52"/>
              <w:ind w:left="10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法定代表人身份证明书 </w:t>
            </w:r>
          </w:p>
        </w:tc>
        <w:tc>
          <w:tcPr>
            <w:tcW w:w="1219" w:type="dxa"/>
            <w:vAlign w:val="center"/>
          </w:tcPr>
          <w:p>
            <w:pPr>
              <w:pStyle w:val="20"/>
              <w:spacing w:before="52"/>
              <w:ind w:left="107"/>
              <w:rPr>
                <w:rFonts w:hint="eastAsia" w:ascii="宋体" w:hAnsi="宋体" w:eastAsia="宋体" w:cs="宋体"/>
                <w:color w:val="auto"/>
                <w:sz w:val="24"/>
                <w:szCs w:val="24"/>
                <w:highlight w:val="none"/>
              </w:rPr>
            </w:pPr>
          </w:p>
        </w:tc>
        <w:tc>
          <w:tcPr>
            <w:tcW w:w="1387" w:type="dxa"/>
            <w:vAlign w:val="center"/>
          </w:tcPr>
          <w:p>
            <w:pPr>
              <w:pStyle w:val="20"/>
              <w:spacing w:before="55"/>
              <w:ind w:left="151" w:right="15"/>
              <w:rPr>
                <w:rFonts w:hint="eastAsia" w:ascii="宋体" w:hAnsi="宋体" w:eastAsia="宋体" w:cs="宋体"/>
                <w:color w:val="auto"/>
                <w:spacing w:val="-20"/>
                <w:sz w:val="24"/>
                <w:szCs w:val="24"/>
                <w:highlight w:val="none"/>
                <w:lang w:eastAsia="zh-CN"/>
              </w:rPr>
            </w:pPr>
            <w:r>
              <w:rPr>
                <w:rFonts w:hint="eastAsia" w:ascii="宋体" w:hAnsi="宋体" w:eastAsia="宋体" w:cs="宋体"/>
                <w:color w:val="auto"/>
                <w:spacing w:val="-20"/>
                <w:sz w:val="24"/>
                <w:szCs w:val="24"/>
                <w:highlight w:val="none"/>
              </w:rPr>
              <w:t xml:space="preserve">附件 </w:t>
            </w:r>
            <w:r>
              <w:rPr>
                <w:rFonts w:hint="eastAsia" w:ascii="宋体" w:hAnsi="宋体" w:eastAsia="宋体" w:cs="宋体"/>
                <w:color w:val="auto"/>
                <w:spacing w:val="-20"/>
                <w:sz w:val="24"/>
                <w:szCs w:val="24"/>
                <w:highlight w:val="none"/>
                <w:lang w:val="en-US" w:eastAsia="zh-CN"/>
              </w:rPr>
              <w:t>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758" w:type="dxa"/>
            <w:vAlign w:val="center"/>
          </w:tcPr>
          <w:p>
            <w:pPr>
              <w:pStyle w:val="20"/>
              <w:spacing w:before="52"/>
              <w:ind w:left="144" w:right="15"/>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5913" w:type="dxa"/>
            <w:vAlign w:val="center"/>
          </w:tcPr>
          <w:p>
            <w:pPr>
              <w:pStyle w:val="20"/>
              <w:spacing w:before="52"/>
              <w:ind w:left="10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法定代表人授权委托书 </w:t>
            </w:r>
          </w:p>
        </w:tc>
        <w:tc>
          <w:tcPr>
            <w:tcW w:w="1219" w:type="dxa"/>
            <w:vAlign w:val="center"/>
          </w:tcPr>
          <w:p>
            <w:pPr>
              <w:pStyle w:val="20"/>
              <w:spacing w:before="52"/>
              <w:ind w:left="107"/>
              <w:rPr>
                <w:rFonts w:hint="eastAsia" w:ascii="宋体" w:hAnsi="宋体" w:eastAsia="宋体" w:cs="宋体"/>
                <w:color w:val="auto"/>
                <w:sz w:val="24"/>
                <w:szCs w:val="24"/>
                <w:highlight w:val="none"/>
              </w:rPr>
            </w:pPr>
          </w:p>
        </w:tc>
        <w:tc>
          <w:tcPr>
            <w:tcW w:w="1387" w:type="dxa"/>
            <w:vAlign w:val="center"/>
          </w:tcPr>
          <w:p>
            <w:pPr>
              <w:pStyle w:val="20"/>
              <w:spacing w:before="55"/>
              <w:ind w:left="151" w:right="15"/>
              <w:rPr>
                <w:rFonts w:hint="eastAsia" w:ascii="宋体" w:hAnsi="宋体" w:eastAsia="宋体" w:cs="宋体"/>
                <w:color w:val="auto"/>
                <w:spacing w:val="-20"/>
                <w:sz w:val="24"/>
                <w:szCs w:val="24"/>
                <w:highlight w:val="none"/>
                <w:lang w:eastAsia="zh-CN"/>
              </w:rPr>
            </w:pPr>
            <w:r>
              <w:rPr>
                <w:rFonts w:hint="eastAsia" w:ascii="宋体" w:hAnsi="宋体" w:eastAsia="宋体" w:cs="宋体"/>
                <w:color w:val="auto"/>
                <w:spacing w:val="-20"/>
                <w:sz w:val="24"/>
                <w:szCs w:val="24"/>
                <w:highlight w:val="none"/>
              </w:rPr>
              <w:t xml:space="preserve">附件 </w:t>
            </w:r>
            <w:r>
              <w:rPr>
                <w:rFonts w:hint="eastAsia" w:ascii="宋体" w:hAnsi="宋体" w:eastAsia="宋体" w:cs="宋体"/>
                <w:color w:val="auto"/>
                <w:spacing w:val="-20"/>
                <w:sz w:val="24"/>
                <w:szCs w:val="24"/>
                <w:highlight w:val="none"/>
                <w:lang w:val="en-US" w:eastAsia="zh-CN"/>
              </w:rPr>
              <w:t>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758" w:type="dxa"/>
            <w:vAlign w:val="center"/>
          </w:tcPr>
          <w:p>
            <w:pPr>
              <w:pStyle w:val="20"/>
              <w:spacing w:before="52"/>
              <w:ind w:left="144" w:right="15"/>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5913" w:type="dxa"/>
            <w:vAlign w:val="center"/>
          </w:tcPr>
          <w:p>
            <w:pPr>
              <w:pStyle w:val="20"/>
              <w:spacing w:before="55"/>
              <w:ind w:left="10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投标函（商务标）</w:t>
            </w:r>
          </w:p>
        </w:tc>
        <w:tc>
          <w:tcPr>
            <w:tcW w:w="1219" w:type="dxa"/>
            <w:vAlign w:val="center"/>
          </w:tcPr>
          <w:p>
            <w:pPr>
              <w:pStyle w:val="20"/>
              <w:spacing w:before="52"/>
              <w:ind w:left="10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1387" w:type="dxa"/>
            <w:vAlign w:val="center"/>
          </w:tcPr>
          <w:p>
            <w:pPr>
              <w:pStyle w:val="20"/>
              <w:spacing w:before="52"/>
              <w:ind w:left="151" w:right="1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0"/>
                <w:sz w:val="24"/>
                <w:szCs w:val="24"/>
                <w:highlight w:val="none"/>
              </w:rPr>
              <w:t xml:space="preserve">附件 </w:t>
            </w:r>
            <w:r>
              <w:rPr>
                <w:rFonts w:hint="eastAsia" w:ascii="宋体" w:hAnsi="宋体" w:eastAsia="宋体" w:cs="宋体"/>
                <w:color w:val="auto"/>
                <w:spacing w:val="-20"/>
                <w:sz w:val="24"/>
                <w:szCs w:val="24"/>
                <w:highlight w:val="none"/>
                <w:lang w:val="en-US" w:eastAsia="zh-CN"/>
              </w:rPr>
              <w:t>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758" w:type="dxa"/>
            <w:vAlign w:val="center"/>
          </w:tcPr>
          <w:p>
            <w:pPr>
              <w:pStyle w:val="20"/>
              <w:spacing w:before="52"/>
              <w:ind w:left="144" w:right="15"/>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5913" w:type="dxa"/>
            <w:vAlign w:val="center"/>
          </w:tcPr>
          <w:p>
            <w:pPr>
              <w:pStyle w:val="20"/>
              <w:spacing w:before="55"/>
              <w:ind w:left="107"/>
              <w:rPr>
                <w:rFonts w:hint="eastAsia" w:ascii="宋体" w:hAnsi="宋体" w:eastAsia="宋体" w:cs="宋体"/>
                <w:color w:val="auto"/>
                <w:sz w:val="24"/>
                <w:szCs w:val="24"/>
                <w:highlight w:val="none"/>
                <w:lang w:val="en-US" w:eastAsia="zh-CN"/>
              </w:rPr>
            </w:pPr>
            <w:r>
              <w:rPr>
                <w:rFonts w:hint="eastAsia"/>
                <w:color w:val="auto"/>
                <w:sz w:val="24"/>
                <w:highlight w:val="none"/>
                <w:lang w:val="en-US" w:eastAsia="zh-CN"/>
              </w:rPr>
              <w:t>2025至2026年度弱电系统维保项目明细及报价清单</w:t>
            </w:r>
          </w:p>
        </w:tc>
        <w:tc>
          <w:tcPr>
            <w:tcW w:w="1219" w:type="dxa"/>
            <w:vAlign w:val="center"/>
          </w:tcPr>
          <w:p>
            <w:pPr>
              <w:pStyle w:val="20"/>
              <w:spacing w:before="52"/>
              <w:ind w:left="107"/>
              <w:rPr>
                <w:rFonts w:hint="eastAsia" w:ascii="宋体" w:hAnsi="宋体" w:eastAsia="宋体" w:cs="宋体"/>
                <w:color w:val="auto"/>
                <w:sz w:val="24"/>
                <w:szCs w:val="24"/>
                <w:highlight w:val="none"/>
              </w:rPr>
            </w:pPr>
          </w:p>
        </w:tc>
        <w:tc>
          <w:tcPr>
            <w:tcW w:w="1387" w:type="dxa"/>
            <w:vAlign w:val="center"/>
          </w:tcPr>
          <w:p>
            <w:pPr>
              <w:pStyle w:val="20"/>
              <w:spacing w:before="52"/>
              <w:ind w:left="151" w:right="15"/>
              <w:rPr>
                <w:rFonts w:hint="eastAsia" w:ascii="宋体" w:hAnsi="宋体" w:eastAsia="宋体" w:cs="宋体"/>
                <w:color w:val="auto"/>
                <w:spacing w:val="-20"/>
                <w:sz w:val="24"/>
                <w:szCs w:val="24"/>
                <w:highlight w:val="none"/>
                <w:lang w:eastAsia="zh-CN"/>
              </w:rPr>
            </w:pPr>
            <w:r>
              <w:rPr>
                <w:rFonts w:hint="eastAsia" w:ascii="宋体" w:hAnsi="宋体" w:eastAsia="宋体" w:cs="宋体"/>
                <w:color w:val="auto"/>
                <w:spacing w:val="-20"/>
                <w:sz w:val="24"/>
                <w:szCs w:val="24"/>
                <w:highlight w:val="none"/>
              </w:rPr>
              <w:t>附件</w:t>
            </w:r>
            <w:r>
              <w:rPr>
                <w:rFonts w:hint="eastAsia" w:ascii="宋体" w:hAnsi="宋体" w:eastAsia="宋体" w:cs="宋体"/>
                <w:color w:val="auto"/>
                <w:spacing w:val="-20"/>
                <w:sz w:val="24"/>
                <w:szCs w:val="24"/>
                <w:highlight w:val="none"/>
                <w:lang w:val="en-US" w:eastAsia="zh-CN"/>
              </w:rPr>
              <w:t>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58" w:type="dxa"/>
            <w:vAlign w:val="center"/>
          </w:tcPr>
          <w:p>
            <w:pPr>
              <w:pStyle w:val="20"/>
              <w:spacing w:before="52"/>
              <w:ind w:left="144" w:right="15"/>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5913" w:type="dxa"/>
            <w:vAlign w:val="center"/>
          </w:tcPr>
          <w:p>
            <w:pPr>
              <w:pStyle w:val="20"/>
              <w:spacing w:before="55"/>
              <w:ind w:left="107"/>
              <w:rPr>
                <w:rFonts w:hint="eastAsia"/>
                <w:color w:val="auto"/>
                <w:sz w:val="24"/>
                <w:highlight w:val="none"/>
                <w:lang w:val="en-US" w:eastAsia="zh-CN"/>
              </w:rPr>
            </w:pPr>
            <w:r>
              <w:rPr>
                <w:rFonts w:hint="eastAsia"/>
                <w:color w:val="auto"/>
                <w:sz w:val="24"/>
                <w:highlight w:val="none"/>
                <w:lang w:val="en-US" w:eastAsia="zh-CN"/>
              </w:rPr>
              <w:t>资质：</w:t>
            </w:r>
            <w:r>
              <w:rPr>
                <w:rFonts w:hint="eastAsia" w:ascii="宋体" w:hAnsi="宋体" w:cs="宋体"/>
                <w:color w:val="auto"/>
                <w:sz w:val="24"/>
                <w:highlight w:val="none"/>
                <w:lang w:val="en-US" w:eastAsia="zh-CN"/>
              </w:rPr>
              <w:t>安防工程从业资质证书</w:t>
            </w:r>
            <w:r>
              <w:rPr>
                <w:rFonts w:hint="eastAsia" w:ascii="宋体" w:hAnsi="宋体" w:eastAsia="宋体" w:cs="宋体"/>
                <w:color w:val="auto"/>
                <w:sz w:val="24"/>
                <w:szCs w:val="24"/>
                <w:highlight w:val="none"/>
              </w:rPr>
              <w:t xml:space="preserve">（复印件加盖公章） </w:t>
            </w:r>
          </w:p>
        </w:tc>
        <w:tc>
          <w:tcPr>
            <w:tcW w:w="1219" w:type="dxa"/>
            <w:vAlign w:val="center"/>
          </w:tcPr>
          <w:p>
            <w:pPr>
              <w:pStyle w:val="20"/>
              <w:spacing w:before="52"/>
              <w:ind w:left="107"/>
              <w:rPr>
                <w:rFonts w:hint="eastAsia" w:ascii="宋体" w:hAnsi="宋体" w:eastAsia="宋体" w:cs="宋体"/>
                <w:color w:val="auto"/>
                <w:sz w:val="24"/>
                <w:szCs w:val="24"/>
                <w:highlight w:val="none"/>
              </w:rPr>
            </w:pPr>
          </w:p>
        </w:tc>
        <w:tc>
          <w:tcPr>
            <w:tcW w:w="1387" w:type="dxa"/>
            <w:vAlign w:val="center"/>
          </w:tcPr>
          <w:p>
            <w:pPr>
              <w:pStyle w:val="20"/>
              <w:spacing w:before="52"/>
              <w:ind w:left="151" w:right="15"/>
              <w:rPr>
                <w:rFonts w:hint="eastAsia" w:ascii="宋体" w:hAnsi="宋体" w:eastAsia="宋体" w:cs="宋体"/>
                <w:color w:val="auto"/>
                <w:spacing w:val="-2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758" w:type="dxa"/>
            <w:vAlign w:val="center"/>
          </w:tcPr>
          <w:p>
            <w:pPr>
              <w:pStyle w:val="20"/>
              <w:spacing w:before="52"/>
              <w:ind w:left="144" w:right="15"/>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5913" w:type="dxa"/>
            <w:vAlign w:val="center"/>
          </w:tcPr>
          <w:p>
            <w:pPr>
              <w:pStyle w:val="20"/>
              <w:spacing w:before="55"/>
              <w:ind w:left="107"/>
              <w:rPr>
                <w:rFonts w:hint="eastAsia"/>
                <w:color w:val="auto"/>
                <w:sz w:val="24"/>
                <w:highlight w:val="none"/>
                <w:lang w:val="en-US" w:eastAsia="zh-CN"/>
              </w:rPr>
            </w:pPr>
            <w:r>
              <w:rPr>
                <w:rFonts w:hint="eastAsia" w:ascii="宋体" w:hAnsi="宋体" w:cs="宋体"/>
                <w:color w:val="auto"/>
                <w:sz w:val="24"/>
                <w:highlight w:val="none"/>
                <w:lang w:val="en-US" w:eastAsia="zh-CN"/>
              </w:rPr>
              <w:t>业绩：近三年至少三个同类项目案例（合同复印件</w:t>
            </w:r>
            <w:r>
              <w:rPr>
                <w:rFonts w:hint="eastAsia" w:ascii="宋体" w:hAnsi="宋体" w:eastAsia="宋体" w:cs="宋体"/>
                <w:color w:val="auto"/>
                <w:sz w:val="24"/>
                <w:szCs w:val="24"/>
                <w:highlight w:val="none"/>
              </w:rPr>
              <w:t>加盖公章</w:t>
            </w:r>
            <w:r>
              <w:rPr>
                <w:rFonts w:hint="eastAsia" w:ascii="宋体" w:hAnsi="宋体" w:cs="宋体"/>
                <w:color w:val="auto"/>
                <w:sz w:val="24"/>
                <w:highlight w:val="none"/>
                <w:lang w:val="en-US" w:eastAsia="zh-CN"/>
              </w:rPr>
              <w:t>）</w:t>
            </w:r>
          </w:p>
        </w:tc>
        <w:tc>
          <w:tcPr>
            <w:tcW w:w="1219" w:type="dxa"/>
            <w:vAlign w:val="center"/>
          </w:tcPr>
          <w:p>
            <w:pPr>
              <w:pStyle w:val="20"/>
              <w:spacing w:before="52"/>
              <w:ind w:left="107"/>
              <w:rPr>
                <w:rFonts w:hint="eastAsia" w:ascii="宋体" w:hAnsi="宋体" w:eastAsia="宋体" w:cs="宋体"/>
                <w:color w:val="auto"/>
                <w:sz w:val="24"/>
                <w:szCs w:val="24"/>
                <w:highlight w:val="none"/>
              </w:rPr>
            </w:pPr>
          </w:p>
        </w:tc>
        <w:tc>
          <w:tcPr>
            <w:tcW w:w="1387" w:type="dxa"/>
            <w:vAlign w:val="center"/>
          </w:tcPr>
          <w:p>
            <w:pPr>
              <w:pStyle w:val="20"/>
              <w:spacing w:before="52"/>
              <w:ind w:left="151" w:right="15"/>
              <w:rPr>
                <w:rFonts w:hint="eastAsia" w:ascii="宋体" w:hAnsi="宋体" w:eastAsia="宋体" w:cs="宋体"/>
                <w:color w:val="auto"/>
                <w:spacing w:val="-2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758" w:type="dxa"/>
            <w:vAlign w:val="center"/>
          </w:tcPr>
          <w:p>
            <w:pPr>
              <w:pStyle w:val="20"/>
              <w:spacing w:before="52"/>
              <w:ind w:left="144" w:right="15"/>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5913" w:type="dxa"/>
            <w:vAlign w:val="center"/>
          </w:tcPr>
          <w:p>
            <w:pPr>
              <w:pStyle w:val="20"/>
              <w:spacing w:before="55"/>
              <w:ind w:left="107"/>
              <w:rPr>
                <w:rFonts w:hint="eastAsia" w:ascii="宋体" w:hAnsi="宋体" w:eastAsia="宋体" w:cs="宋体"/>
                <w:color w:val="auto"/>
                <w:sz w:val="24"/>
                <w:highlight w:val="none"/>
                <w:lang w:val="en-US" w:eastAsia="zh-CN"/>
              </w:rPr>
            </w:pPr>
            <w:r>
              <w:rPr>
                <w:rFonts w:hint="eastAsia" w:ascii="Times New Roman" w:hAnsi="Times New Roman" w:eastAsia="宋体" w:cs="Times New Roman"/>
                <w:b w:val="0"/>
                <w:bCs w:val="0"/>
                <w:color w:val="auto"/>
                <w:kern w:val="2"/>
                <w:sz w:val="24"/>
                <w:szCs w:val="21"/>
                <w:highlight w:val="none"/>
                <w:lang w:val="en-US" w:eastAsia="zh-CN" w:bidi="ar-SA"/>
              </w:rPr>
              <w:t>资源要求：10人以上7*</w:t>
            </w:r>
            <w:r>
              <w:rPr>
                <w:rFonts w:ascii="Times New Roman" w:hAnsi="Times New Roman" w:eastAsia="宋体" w:cs="Times New Roman"/>
                <w:b w:val="0"/>
                <w:bCs w:val="0"/>
                <w:color w:val="auto"/>
                <w:kern w:val="2"/>
                <w:sz w:val="24"/>
                <w:szCs w:val="21"/>
                <w:highlight w:val="none"/>
                <w:lang w:val="en-US" w:eastAsia="zh-CN" w:bidi="ar-SA"/>
              </w:rPr>
              <w:t>24H</w:t>
            </w:r>
            <w:r>
              <w:rPr>
                <w:rFonts w:hint="eastAsia" w:ascii="Times New Roman" w:hAnsi="Times New Roman" w:eastAsia="宋体" w:cs="Times New Roman"/>
                <w:b w:val="0"/>
                <w:bCs w:val="0"/>
                <w:color w:val="auto"/>
                <w:kern w:val="2"/>
                <w:sz w:val="24"/>
                <w:szCs w:val="21"/>
                <w:highlight w:val="none"/>
                <w:lang w:val="en-US" w:eastAsia="zh-CN" w:bidi="ar-SA"/>
              </w:rPr>
              <w:t>人力资源</w:t>
            </w:r>
            <w:r>
              <w:rPr>
                <w:rFonts w:ascii="Times New Roman" w:hAnsi="Times New Roman" w:eastAsia="宋体" w:cs="Times New Roman"/>
                <w:b w:val="0"/>
                <w:bCs w:val="0"/>
                <w:color w:val="auto"/>
                <w:kern w:val="2"/>
                <w:sz w:val="24"/>
                <w:szCs w:val="21"/>
                <w:highlight w:val="none"/>
                <w:lang w:val="en-US" w:eastAsia="zh-CN" w:bidi="ar-SA"/>
              </w:rPr>
              <w:t>，</w:t>
            </w:r>
            <w:r>
              <w:rPr>
                <w:rFonts w:hint="eastAsia" w:ascii="Times New Roman" w:hAnsi="Times New Roman" w:eastAsia="宋体" w:cs="Times New Roman"/>
                <w:b w:val="0"/>
                <w:bCs w:val="0"/>
                <w:color w:val="auto"/>
                <w:kern w:val="2"/>
                <w:sz w:val="24"/>
                <w:szCs w:val="21"/>
                <w:highlight w:val="none"/>
                <w:lang w:val="en-US" w:eastAsia="zh-CN" w:bidi="ar-SA"/>
              </w:rPr>
              <w:t>包括固定的项目管理对接人、</w:t>
            </w:r>
            <w:r>
              <w:rPr>
                <w:rFonts w:hint="eastAsia" w:cs="Times New Roman"/>
                <w:b w:val="0"/>
                <w:bCs w:val="0"/>
                <w:color w:val="auto"/>
                <w:kern w:val="2"/>
                <w:sz w:val="24"/>
                <w:szCs w:val="21"/>
                <w:highlight w:val="none"/>
                <w:lang w:val="en-US" w:eastAsia="zh-CN" w:bidi="ar-SA"/>
              </w:rPr>
              <w:t>有重庆本地的</w:t>
            </w:r>
            <w:r>
              <w:rPr>
                <w:rFonts w:hint="eastAsia" w:ascii="Times New Roman" w:hAnsi="Times New Roman" w:eastAsia="宋体" w:cs="Times New Roman"/>
                <w:b w:val="0"/>
                <w:bCs w:val="0"/>
                <w:color w:val="auto"/>
                <w:kern w:val="2"/>
                <w:sz w:val="24"/>
                <w:szCs w:val="21"/>
                <w:highlight w:val="none"/>
                <w:lang w:val="en-US" w:eastAsia="zh-CN" w:bidi="ar-SA"/>
              </w:rPr>
              <w:t>相关系统维护技术人员、服务投诉渠道等</w:t>
            </w:r>
            <w:r>
              <w:rPr>
                <w:rFonts w:hint="eastAsia" w:ascii="宋体" w:hAnsi="宋体" w:cs="宋体"/>
                <w:color w:val="auto"/>
                <w:sz w:val="24"/>
                <w:highlight w:val="none"/>
                <w:lang w:val="en-US" w:eastAsia="zh-CN"/>
              </w:rPr>
              <w:t>。</w:t>
            </w:r>
            <w:r>
              <w:rPr>
                <w:rFonts w:hint="eastAsia" w:cs="Times New Roman"/>
                <w:b w:val="0"/>
                <w:bCs w:val="0"/>
                <w:color w:val="auto"/>
                <w:kern w:val="2"/>
                <w:sz w:val="24"/>
                <w:szCs w:val="21"/>
                <w:highlight w:val="none"/>
                <w:lang w:val="en-US" w:eastAsia="zh-CN" w:bidi="ar-SA"/>
              </w:rPr>
              <w:t>需提供</w:t>
            </w:r>
            <w:r>
              <w:rPr>
                <w:rFonts w:hint="eastAsia"/>
                <w:color w:val="auto"/>
                <w:sz w:val="24"/>
                <w:highlight w:val="none"/>
                <w:lang w:val="en-US" w:eastAsia="zh-CN"/>
              </w:rPr>
              <w:t>公司组织架构</w:t>
            </w:r>
            <w:r>
              <w:rPr>
                <w:rFonts w:hint="eastAsia" w:cs="Times New Roman"/>
                <w:b w:val="0"/>
                <w:bCs w:val="0"/>
                <w:color w:val="auto"/>
                <w:kern w:val="2"/>
                <w:sz w:val="24"/>
                <w:szCs w:val="21"/>
                <w:highlight w:val="none"/>
                <w:lang w:val="en-US" w:eastAsia="zh-CN" w:bidi="ar-SA"/>
              </w:rPr>
              <w:t>、本项目投入人员清单（格式自行设计）、社保缴费清单</w:t>
            </w:r>
            <w:r>
              <w:rPr>
                <w:rFonts w:hint="eastAsia"/>
                <w:color w:val="auto"/>
                <w:sz w:val="24"/>
                <w:highlight w:val="none"/>
              </w:rPr>
              <w:t>加盖公章</w:t>
            </w:r>
            <w:r>
              <w:rPr>
                <w:rFonts w:hint="eastAsia"/>
                <w:color w:val="auto"/>
                <w:sz w:val="24"/>
                <w:highlight w:val="none"/>
                <w:lang w:eastAsia="zh-CN"/>
              </w:rPr>
              <w:t>。</w:t>
            </w:r>
          </w:p>
        </w:tc>
        <w:tc>
          <w:tcPr>
            <w:tcW w:w="1219" w:type="dxa"/>
            <w:vAlign w:val="center"/>
          </w:tcPr>
          <w:p>
            <w:pPr>
              <w:pStyle w:val="20"/>
              <w:spacing w:before="52"/>
              <w:ind w:left="107"/>
              <w:rPr>
                <w:rFonts w:hint="eastAsia" w:ascii="宋体" w:hAnsi="宋体" w:eastAsia="宋体" w:cs="宋体"/>
                <w:color w:val="auto"/>
                <w:sz w:val="24"/>
                <w:szCs w:val="24"/>
                <w:highlight w:val="none"/>
              </w:rPr>
            </w:pPr>
          </w:p>
        </w:tc>
        <w:tc>
          <w:tcPr>
            <w:tcW w:w="1387" w:type="dxa"/>
            <w:vAlign w:val="center"/>
          </w:tcPr>
          <w:p>
            <w:pPr>
              <w:pStyle w:val="20"/>
              <w:spacing w:before="52"/>
              <w:ind w:left="151" w:right="15"/>
              <w:rPr>
                <w:rFonts w:hint="eastAsia" w:ascii="宋体" w:hAnsi="宋体" w:eastAsia="宋体" w:cs="宋体"/>
                <w:color w:val="auto"/>
                <w:spacing w:val="-2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758" w:type="dxa"/>
            <w:vAlign w:val="center"/>
          </w:tcPr>
          <w:p>
            <w:pPr>
              <w:pStyle w:val="20"/>
              <w:spacing w:before="127"/>
              <w:ind w:left="144" w:leftChars="0" w:right="15" w:rightChars="0"/>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9</w:t>
            </w:r>
          </w:p>
        </w:tc>
        <w:tc>
          <w:tcPr>
            <w:tcW w:w="5913" w:type="dxa"/>
            <w:vAlign w:val="center"/>
          </w:tcPr>
          <w:p>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结合本项目维保范围、维护项以及各方面要求</w:t>
            </w:r>
            <w:r>
              <w:rPr>
                <w:rFonts w:hint="eastAsia" w:ascii="宋体" w:hAnsi="宋体" w:cs="宋体"/>
                <w:color w:val="auto"/>
                <w:kern w:val="2"/>
                <w:sz w:val="24"/>
                <w:szCs w:val="24"/>
                <w:highlight w:val="none"/>
                <w:lang w:val="en-US" w:eastAsia="zh-CN" w:bidi="ar-SA"/>
              </w:rPr>
              <w:t>编制</w:t>
            </w:r>
            <w:r>
              <w:rPr>
                <w:rFonts w:hint="eastAsia" w:ascii="宋体" w:hAnsi="宋体" w:eastAsia="宋体" w:cs="宋体"/>
                <w:color w:val="auto"/>
                <w:kern w:val="2"/>
                <w:sz w:val="24"/>
                <w:szCs w:val="24"/>
                <w:highlight w:val="none"/>
                <w:lang w:val="en-US" w:eastAsia="zh-CN" w:bidi="ar-SA"/>
              </w:rPr>
              <w:t>对应的</w:t>
            </w:r>
            <w:r>
              <w:rPr>
                <w:rFonts w:hint="eastAsia" w:ascii="宋体" w:hAnsi="宋体" w:eastAsia="宋体" w:cs="宋体"/>
                <w:b/>
                <w:bCs/>
                <w:color w:val="auto"/>
                <w:kern w:val="2"/>
                <w:sz w:val="24"/>
                <w:szCs w:val="24"/>
                <w:highlight w:val="none"/>
                <w:lang w:val="en-US" w:eastAsia="zh-CN" w:bidi="ar-SA"/>
              </w:rPr>
              <w:t>维保方案</w:t>
            </w:r>
            <w:r>
              <w:rPr>
                <w:rFonts w:hint="eastAsia" w:ascii="宋体" w:hAnsi="宋体" w:eastAsia="宋体" w:cs="宋体"/>
                <w:color w:val="auto"/>
                <w:kern w:val="2"/>
                <w:sz w:val="24"/>
                <w:szCs w:val="24"/>
                <w:highlight w:val="none"/>
                <w:lang w:val="en-US" w:eastAsia="zh-CN" w:bidi="ar-SA"/>
              </w:rPr>
              <w:t>，同时对维保方案可执行性负责。</w:t>
            </w:r>
          </w:p>
        </w:tc>
        <w:tc>
          <w:tcPr>
            <w:tcW w:w="1219" w:type="dxa"/>
            <w:vAlign w:val="center"/>
          </w:tcPr>
          <w:p>
            <w:pPr>
              <w:pStyle w:val="20"/>
              <w:spacing w:before="52"/>
              <w:ind w:left="107"/>
              <w:rPr>
                <w:rFonts w:hint="eastAsia" w:ascii="宋体" w:hAnsi="宋体" w:eastAsia="宋体" w:cs="宋体"/>
                <w:color w:val="auto"/>
                <w:sz w:val="24"/>
                <w:szCs w:val="24"/>
                <w:highlight w:val="none"/>
              </w:rPr>
            </w:pPr>
          </w:p>
        </w:tc>
        <w:tc>
          <w:tcPr>
            <w:tcW w:w="1387" w:type="dxa"/>
            <w:vAlign w:val="center"/>
          </w:tcPr>
          <w:p>
            <w:pPr>
              <w:pStyle w:val="20"/>
              <w:spacing w:before="52"/>
              <w:ind w:left="151" w:right="15"/>
              <w:rPr>
                <w:rFonts w:hint="eastAsia" w:ascii="宋体" w:hAnsi="宋体" w:eastAsia="宋体" w:cs="宋体"/>
                <w:color w:val="auto"/>
                <w:spacing w:val="-2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58" w:type="dxa"/>
            <w:vAlign w:val="center"/>
          </w:tcPr>
          <w:p>
            <w:pPr>
              <w:pStyle w:val="20"/>
              <w:spacing w:before="127"/>
              <w:ind w:left="144" w:right="15"/>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5913" w:type="dxa"/>
            <w:vAlign w:val="center"/>
          </w:tcPr>
          <w:p>
            <w:pPr>
              <w:pStyle w:val="20"/>
              <w:spacing w:before="127"/>
              <w:ind w:left="107" w:right="-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近三年的财务审计报告或财务报表（复印件加盖公章） </w:t>
            </w:r>
          </w:p>
        </w:tc>
        <w:tc>
          <w:tcPr>
            <w:tcW w:w="1219" w:type="dxa"/>
            <w:vAlign w:val="center"/>
          </w:tcPr>
          <w:p>
            <w:pPr>
              <w:pStyle w:val="20"/>
              <w:spacing w:before="127"/>
              <w:ind w:left="107"/>
              <w:rPr>
                <w:rFonts w:hint="eastAsia" w:ascii="宋体" w:hAnsi="宋体" w:eastAsia="宋体" w:cs="宋体"/>
                <w:color w:val="auto"/>
                <w:sz w:val="24"/>
                <w:szCs w:val="24"/>
                <w:highlight w:val="none"/>
              </w:rPr>
            </w:pPr>
          </w:p>
        </w:tc>
        <w:tc>
          <w:tcPr>
            <w:tcW w:w="1387" w:type="dxa"/>
            <w:vAlign w:val="center"/>
          </w:tcPr>
          <w:p>
            <w:pPr>
              <w:pStyle w:val="20"/>
              <w:spacing w:line="258" w:lineRule="exact"/>
              <w:ind w:left="125"/>
              <w:rPr>
                <w:rFonts w:hint="eastAsia" w:ascii="宋体" w:hAnsi="宋体" w:eastAsia="宋体" w:cs="宋体"/>
                <w:color w:val="auto"/>
                <w:spacing w:val="-2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8" w:type="dxa"/>
            <w:vAlign w:val="center"/>
          </w:tcPr>
          <w:p>
            <w:pPr>
              <w:pStyle w:val="20"/>
              <w:spacing w:before="127"/>
              <w:ind w:left="144" w:right="15"/>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5913" w:type="dxa"/>
            <w:vAlign w:val="center"/>
          </w:tcPr>
          <w:p>
            <w:pPr>
              <w:pStyle w:val="20"/>
              <w:spacing w:before="127"/>
              <w:ind w:left="107" w:right="-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年度纳税信用评价信息（可从电子税务局查询截图，需加盖公章）</w:t>
            </w:r>
          </w:p>
        </w:tc>
        <w:tc>
          <w:tcPr>
            <w:tcW w:w="1219" w:type="dxa"/>
            <w:vAlign w:val="center"/>
          </w:tcPr>
          <w:p>
            <w:pPr>
              <w:pStyle w:val="20"/>
              <w:spacing w:before="127"/>
              <w:ind w:left="107"/>
              <w:rPr>
                <w:rFonts w:hint="eastAsia" w:ascii="宋体" w:hAnsi="宋体" w:eastAsia="宋体" w:cs="宋体"/>
                <w:color w:val="auto"/>
                <w:sz w:val="24"/>
                <w:szCs w:val="24"/>
                <w:highlight w:val="none"/>
              </w:rPr>
            </w:pPr>
          </w:p>
        </w:tc>
        <w:tc>
          <w:tcPr>
            <w:tcW w:w="1387" w:type="dxa"/>
            <w:vAlign w:val="center"/>
          </w:tcPr>
          <w:p>
            <w:pPr>
              <w:pStyle w:val="20"/>
              <w:spacing w:line="258" w:lineRule="exact"/>
              <w:ind w:left="125"/>
              <w:rPr>
                <w:rFonts w:hint="eastAsia" w:ascii="宋体" w:hAnsi="宋体" w:eastAsia="宋体" w:cs="宋体"/>
                <w:color w:val="auto"/>
                <w:spacing w:val="-2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8" w:type="dxa"/>
            <w:vAlign w:val="center"/>
          </w:tcPr>
          <w:p>
            <w:pPr>
              <w:pStyle w:val="20"/>
              <w:spacing w:before="127"/>
              <w:ind w:left="144" w:right="15"/>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5913" w:type="dxa"/>
            <w:vAlign w:val="center"/>
          </w:tcPr>
          <w:p>
            <w:pPr>
              <w:pStyle w:val="20"/>
              <w:spacing w:before="127"/>
              <w:ind w:left="107" w:right="-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企业对外担保说明（写明贵单位对外有无对外担保和质押业务，需加盖公章）</w:t>
            </w:r>
          </w:p>
        </w:tc>
        <w:tc>
          <w:tcPr>
            <w:tcW w:w="1219" w:type="dxa"/>
            <w:vAlign w:val="center"/>
          </w:tcPr>
          <w:p>
            <w:pPr>
              <w:pStyle w:val="20"/>
              <w:spacing w:before="127"/>
              <w:ind w:left="107"/>
              <w:rPr>
                <w:rFonts w:hint="eastAsia" w:ascii="宋体" w:hAnsi="宋体" w:eastAsia="宋体" w:cs="宋体"/>
                <w:color w:val="auto"/>
                <w:sz w:val="24"/>
                <w:szCs w:val="24"/>
                <w:highlight w:val="none"/>
              </w:rPr>
            </w:pPr>
          </w:p>
        </w:tc>
        <w:tc>
          <w:tcPr>
            <w:tcW w:w="1387" w:type="dxa"/>
            <w:vAlign w:val="center"/>
          </w:tcPr>
          <w:p>
            <w:pPr>
              <w:pStyle w:val="20"/>
              <w:spacing w:line="258" w:lineRule="exact"/>
              <w:ind w:left="125"/>
              <w:rPr>
                <w:rFonts w:hint="eastAsia" w:ascii="宋体" w:hAnsi="宋体" w:eastAsia="宋体" w:cs="宋体"/>
                <w:color w:val="auto"/>
                <w:spacing w:val="-2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8" w:type="dxa"/>
            <w:vAlign w:val="center"/>
          </w:tcPr>
          <w:p>
            <w:pPr>
              <w:pStyle w:val="20"/>
              <w:spacing w:before="127"/>
              <w:ind w:left="144" w:right="15"/>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5913" w:type="dxa"/>
            <w:vAlign w:val="center"/>
          </w:tcPr>
          <w:p>
            <w:pPr>
              <w:pStyle w:val="20"/>
              <w:spacing w:before="127"/>
              <w:ind w:left="107" w:right="-2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投标保证金退还说明</w:t>
            </w:r>
          </w:p>
        </w:tc>
        <w:tc>
          <w:tcPr>
            <w:tcW w:w="1219" w:type="dxa"/>
            <w:vAlign w:val="center"/>
          </w:tcPr>
          <w:p>
            <w:pPr>
              <w:pStyle w:val="20"/>
              <w:spacing w:before="127"/>
              <w:ind w:left="107"/>
              <w:rPr>
                <w:rFonts w:hint="eastAsia" w:ascii="宋体" w:hAnsi="宋体" w:eastAsia="宋体" w:cs="宋体"/>
                <w:color w:val="auto"/>
                <w:sz w:val="24"/>
                <w:szCs w:val="24"/>
                <w:highlight w:val="none"/>
              </w:rPr>
            </w:pPr>
          </w:p>
        </w:tc>
        <w:tc>
          <w:tcPr>
            <w:tcW w:w="1387" w:type="dxa"/>
            <w:vAlign w:val="center"/>
          </w:tcPr>
          <w:p>
            <w:pPr>
              <w:pStyle w:val="20"/>
              <w:spacing w:line="258" w:lineRule="exact"/>
              <w:ind w:left="125"/>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附件</w:t>
            </w:r>
            <w:r>
              <w:rPr>
                <w:rFonts w:hint="eastAsia" w:ascii="宋体" w:hAnsi="宋体" w:eastAsia="宋体" w:cs="宋体"/>
                <w:color w:val="auto"/>
                <w:spacing w:val="-20"/>
                <w:sz w:val="24"/>
                <w:szCs w:val="24"/>
                <w:highlight w:val="none"/>
                <w:lang w:val="en-US" w:eastAsia="zh-CN"/>
              </w:rPr>
              <w:t>五</w:t>
            </w:r>
          </w:p>
        </w:tc>
      </w:tr>
    </w:tbl>
    <w:p>
      <w:pPr>
        <w:spacing w:before="120" w:beforeLines="50" w:after="120" w:afterLines="50"/>
        <w:rPr>
          <w:b/>
          <w:color w:val="auto"/>
          <w:highlight w:val="none"/>
        </w:rPr>
      </w:pPr>
      <w:r>
        <w:rPr>
          <w:rFonts w:hint="eastAsia"/>
          <w:b/>
          <w:color w:val="auto"/>
          <w:highlight w:val="none"/>
        </w:rPr>
        <w:t xml:space="preserve">    备注：投标人自行创建投标目录，包括但不限于除以上的所有资料。</w:t>
      </w:r>
    </w:p>
    <w:p>
      <w:pPr>
        <w:spacing w:before="120" w:beforeLines="50" w:after="120" w:afterLines="50"/>
        <w:rPr>
          <w:b/>
          <w:color w:val="auto"/>
          <w:highlight w:val="none"/>
        </w:rPr>
      </w:pPr>
    </w:p>
    <w:p>
      <w:pPr>
        <w:spacing w:before="120" w:beforeLines="50" w:after="120" w:afterLines="50"/>
        <w:rPr>
          <w:b/>
          <w:color w:val="auto"/>
          <w:highlight w:val="none"/>
        </w:rPr>
      </w:pPr>
    </w:p>
    <w:p>
      <w:pPr>
        <w:spacing w:before="120" w:beforeLines="50" w:after="120" w:afterLines="50"/>
        <w:rPr>
          <w:b/>
          <w:color w:val="auto"/>
          <w:highlight w:val="none"/>
        </w:rPr>
      </w:pPr>
    </w:p>
    <w:p>
      <w:pPr>
        <w:spacing w:before="120" w:beforeLines="50" w:after="120" w:afterLines="50"/>
        <w:rPr>
          <w:b/>
          <w:color w:val="auto"/>
          <w:highlight w:val="none"/>
        </w:rPr>
      </w:pPr>
    </w:p>
    <w:p>
      <w:pPr>
        <w:spacing w:line="360" w:lineRule="auto"/>
        <w:ind w:firstLine="420" w:firstLineChars="200"/>
        <w:jc w:val="left"/>
        <w:rPr>
          <w:color w:val="auto"/>
          <w:highlight w:val="none"/>
        </w:rPr>
      </w:pPr>
    </w:p>
    <w:p>
      <w:pPr>
        <w:spacing w:line="360" w:lineRule="auto"/>
        <w:ind w:firstLine="420" w:firstLineChars="200"/>
        <w:jc w:val="left"/>
        <w:rPr>
          <w:color w:val="auto"/>
          <w:highlight w:val="none"/>
        </w:rPr>
      </w:pPr>
    </w:p>
    <w:p>
      <w:pPr>
        <w:spacing w:line="360" w:lineRule="auto"/>
        <w:ind w:firstLine="420" w:firstLineChars="200"/>
        <w:jc w:val="left"/>
        <w:rPr>
          <w:rFonts w:hint="eastAsia"/>
          <w:color w:val="auto"/>
          <w:highlight w:val="none"/>
        </w:rPr>
      </w:pPr>
    </w:p>
    <w:p>
      <w:pPr>
        <w:spacing w:line="360" w:lineRule="auto"/>
        <w:jc w:val="left"/>
        <w:rPr>
          <w:color w:val="auto"/>
          <w:highlight w:val="none"/>
        </w:rPr>
      </w:pPr>
    </w:p>
    <w:p>
      <w:pPr>
        <w:spacing w:line="360" w:lineRule="auto"/>
        <w:jc w:val="left"/>
        <w:rPr>
          <w:color w:val="auto"/>
          <w:highlight w:val="none"/>
        </w:rPr>
      </w:pPr>
    </w:p>
    <w:p>
      <w:pPr>
        <w:spacing w:line="360" w:lineRule="auto"/>
        <w:jc w:val="left"/>
        <w:rPr>
          <w:color w:val="auto"/>
          <w:highlight w:val="none"/>
        </w:rPr>
      </w:pPr>
    </w:p>
    <w:p>
      <w:pPr>
        <w:spacing w:line="360" w:lineRule="auto"/>
        <w:jc w:val="left"/>
        <w:rPr>
          <w:color w:val="auto"/>
          <w:highlight w:val="none"/>
        </w:rPr>
      </w:pPr>
    </w:p>
    <w:p>
      <w:pPr>
        <w:spacing w:line="360" w:lineRule="auto"/>
        <w:jc w:val="left"/>
        <w:rPr>
          <w:b/>
          <w:color w:val="auto"/>
          <w:sz w:val="24"/>
          <w:szCs w:val="24"/>
          <w:highlight w:val="none"/>
        </w:rPr>
      </w:pPr>
      <w:r>
        <w:rPr>
          <w:rFonts w:hint="eastAsia"/>
          <w:b/>
          <w:color w:val="auto"/>
          <w:sz w:val="24"/>
          <w:szCs w:val="24"/>
          <w:highlight w:val="none"/>
        </w:rPr>
        <w:t>附件一  法定代表人身份证明书</w:t>
      </w:r>
    </w:p>
    <w:p>
      <w:pPr>
        <w:snapToGrid w:val="0"/>
        <w:jc w:val="center"/>
        <w:rPr>
          <w:rFonts w:ascii="宋体" w:hAnsi="宋体" w:cs="宋体"/>
          <w:b/>
          <w:color w:val="auto"/>
          <w:sz w:val="32"/>
          <w:szCs w:val="32"/>
          <w:highlight w:val="none"/>
        </w:rPr>
      </w:pPr>
    </w:p>
    <w:p>
      <w:pPr>
        <w:pStyle w:val="14"/>
        <w:rPr>
          <w:color w:val="auto"/>
          <w:highlight w:val="none"/>
        </w:rPr>
      </w:pPr>
      <w:r>
        <w:rPr>
          <w:rFonts w:hint="eastAsia"/>
          <w:color w:val="auto"/>
          <w:highlight w:val="none"/>
        </w:rPr>
        <w:t>法定代表人身份证明书</w:t>
      </w:r>
    </w:p>
    <w:p>
      <w:pPr>
        <w:snapToGrid w:val="0"/>
        <w:jc w:val="center"/>
        <w:rPr>
          <w:rFonts w:ascii="楷体" w:hAnsi="楷体" w:eastAsia="楷体"/>
          <w:b/>
          <w:color w:val="auto"/>
          <w:sz w:val="36"/>
          <w:szCs w:val="36"/>
          <w:highlight w:val="none"/>
        </w:rPr>
      </w:pPr>
    </w:p>
    <w:p>
      <w:pPr>
        <w:jc w:val="left"/>
        <w:rPr>
          <w:rFonts w:ascii="楷体" w:hAnsi="楷体" w:eastAsia="楷体"/>
          <w:color w:val="auto"/>
          <w:sz w:val="36"/>
          <w:szCs w:val="36"/>
          <w:highlight w:val="none"/>
        </w:rPr>
      </w:pPr>
      <w:r>
        <w:rPr>
          <w:rFonts w:hint="eastAsia" w:ascii="楷体" w:hAnsi="楷体" w:eastAsia="楷体"/>
          <w:color w:val="auto"/>
          <w:sz w:val="36"/>
          <w:szCs w:val="36"/>
          <w:highlight w:val="none"/>
        </w:rPr>
        <w:t xml:space="preserve">     </w:t>
      </w:r>
    </w:p>
    <w:p>
      <w:pPr>
        <w:jc w:val="left"/>
        <w:rPr>
          <w:rFonts w:ascii="宋体" w:hAnsi="宋体" w:cs="宋体"/>
          <w:color w:val="auto"/>
          <w:sz w:val="28"/>
          <w:szCs w:val="28"/>
          <w:highlight w:val="none"/>
        </w:rPr>
      </w:pPr>
      <w:r>
        <w:rPr>
          <w:rFonts w:hint="eastAsia" w:ascii="楷体" w:hAnsi="楷体" w:eastAsia="楷体"/>
          <w:color w:val="auto"/>
          <w:sz w:val="28"/>
          <w:szCs w:val="28"/>
          <w:highlight w:val="none"/>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同志，在我单位担任</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职务，特此证明。</w:t>
      </w:r>
    </w:p>
    <w:p>
      <w:pPr>
        <w:jc w:val="left"/>
        <w:rPr>
          <w:rFonts w:ascii="宋体" w:hAnsi="宋体" w:cs="宋体"/>
          <w:color w:val="auto"/>
          <w:sz w:val="28"/>
          <w:szCs w:val="28"/>
          <w:highlight w:val="none"/>
        </w:rPr>
      </w:pPr>
      <w:r>
        <w:rPr>
          <w:rFonts w:hint="eastAsia" w:ascii="宋体" w:hAnsi="宋体" w:cs="宋体"/>
          <w:color w:val="auto"/>
          <w:sz w:val="28"/>
          <w:szCs w:val="28"/>
          <w:highlight w:val="none"/>
        </w:rPr>
        <w:t xml:space="preserve"> </w:t>
      </w: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r>
        <w:rPr>
          <w:rFonts w:hint="eastAsia" w:ascii="宋体" w:hAnsi="宋体" w:cs="宋体"/>
          <w:color w:val="auto"/>
          <w:sz w:val="28"/>
          <w:szCs w:val="28"/>
          <w:highlight w:val="none"/>
        </w:rPr>
        <w:t>法定代表人身份证复印件粘贴如下：</w:t>
      </w: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jc w:val="left"/>
        <w:rPr>
          <w:rFonts w:ascii="宋体" w:hAnsi="宋体" w:cs="宋体"/>
          <w:color w:val="auto"/>
          <w:sz w:val="28"/>
          <w:szCs w:val="28"/>
          <w:highlight w:val="none"/>
        </w:rPr>
      </w:pPr>
    </w:p>
    <w:p>
      <w:pPr>
        <w:spacing w:line="360" w:lineRule="exact"/>
        <w:rPr>
          <w:rFonts w:ascii="宋体" w:hAnsi="宋体" w:cs="宋体"/>
          <w:color w:val="auto"/>
          <w:sz w:val="28"/>
          <w:szCs w:val="28"/>
          <w:highlight w:val="none"/>
        </w:rPr>
      </w:pPr>
      <w:r>
        <w:rPr>
          <w:rFonts w:hint="eastAsia" w:ascii="宋体" w:hAnsi="宋体" w:cs="宋体"/>
          <w:color w:val="auto"/>
          <w:sz w:val="28"/>
          <w:szCs w:val="28"/>
          <w:highlight w:val="none"/>
        </w:rPr>
        <w:t xml:space="preserve">投标单位（盖章）：                       </w:t>
      </w:r>
    </w:p>
    <w:p>
      <w:pPr>
        <w:spacing w:line="360" w:lineRule="exact"/>
        <w:rPr>
          <w:rFonts w:ascii="宋体" w:hAnsi="宋体" w:cs="宋体"/>
          <w:color w:val="auto"/>
          <w:sz w:val="28"/>
          <w:szCs w:val="28"/>
          <w:highlight w:val="none"/>
        </w:rPr>
      </w:pPr>
      <w:r>
        <w:rPr>
          <w:rFonts w:hint="eastAsia" w:ascii="宋体" w:hAnsi="宋体" w:cs="宋体"/>
          <w:color w:val="auto"/>
          <w:sz w:val="28"/>
          <w:szCs w:val="28"/>
          <w:highlight w:val="none"/>
        </w:rPr>
        <w:t xml:space="preserve"> </w:t>
      </w:r>
    </w:p>
    <w:p>
      <w:pPr>
        <w:spacing w:line="360" w:lineRule="exact"/>
        <w:rPr>
          <w:rFonts w:ascii="宋体" w:hAnsi="宋体" w:cs="宋体"/>
          <w:color w:val="auto"/>
          <w:sz w:val="28"/>
          <w:szCs w:val="28"/>
          <w:highlight w:val="none"/>
        </w:rPr>
      </w:pPr>
      <w:r>
        <w:rPr>
          <w:rFonts w:hint="eastAsia" w:ascii="宋体" w:hAnsi="宋体" w:cs="宋体"/>
          <w:color w:val="auto"/>
          <w:sz w:val="28"/>
          <w:szCs w:val="28"/>
          <w:highlight w:val="none"/>
        </w:rPr>
        <w:t xml:space="preserve">法定代表人（签字）：                          </w:t>
      </w:r>
    </w:p>
    <w:p>
      <w:pPr>
        <w:spacing w:line="360" w:lineRule="exact"/>
        <w:rPr>
          <w:rFonts w:ascii="宋体" w:hAnsi="宋体" w:cs="宋体"/>
          <w:color w:val="auto"/>
          <w:sz w:val="28"/>
          <w:szCs w:val="28"/>
          <w:highlight w:val="none"/>
        </w:rPr>
      </w:pPr>
    </w:p>
    <w:p>
      <w:pPr>
        <w:spacing w:line="360" w:lineRule="exact"/>
        <w:rPr>
          <w:rFonts w:ascii="宋体" w:hAnsi="宋体" w:cs="宋体"/>
          <w:color w:val="auto"/>
          <w:sz w:val="28"/>
          <w:szCs w:val="28"/>
          <w:highlight w:val="none"/>
        </w:rPr>
      </w:pPr>
      <w:r>
        <w:rPr>
          <w:rFonts w:hint="eastAsia" w:ascii="宋体" w:hAnsi="宋体" w:cs="宋体"/>
          <w:color w:val="auto"/>
          <w:sz w:val="28"/>
          <w:szCs w:val="28"/>
          <w:highlight w:val="none"/>
        </w:rPr>
        <w:t>日期：</w:t>
      </w:r>
      <w:r>
        <w:rPr>
          <w:rFonts w:hint="eastAsia" w:ascii="宋体" w:hAnsi="宋体" w:cs="宋体"/>
          <w:color w:val="auto"/>
          <w:sz w:val="28"/>
          <w:szCs w:val="28"/>
          <w:highlight w:val="none"/>
          <w:u w:val="none"/>
          <w:lang w:val="en-US" w:eastAsia="zh-CN"/>
        </w:rPr>
        <w:t>2025</w:t>
      </w:r>
      <w:r>
        <w:rPr>
          <w:rFonts w:hint="eastAsia" w:ascii="宋体" w:hAnsi="宋体" w:cs="宋体"/>
          <w:color w:val="auto"/>
          <w:sz w:val="28"/>
          <w:szCs w:val="28"/>
          <w:highlight w:val="none"/>
        </w:rPr>
        <w:t xml:space="preserve">年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 xml:space="preserve"> 月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日</w:t>
      </w:r>
    </w:p>
    <w:p>
      <w:pPr>
        <w:jc w:val="left"/>
        <w:rPr>
          <w:rFonts w:ascii="宋体" w:hAnsi="宋体" w:cs="宋体"/>
          <w:b/>
          <w:color w:val="auto"/>
          <w:sz w:val="24"/>
          <w:szCs w:val="24"/>
          <w:highlight w:val="none"/>
        </w:rPr>
      </w:pPr>
    </w:p>
    <w:p>
      <w:pPr>
        <w:spacing w:before="240" w:beforeLines="100" w:after="240" w:afterLines="100" w:line="360" w:lineRule="auto"/>
        <w:rPr>
          <w:rFonts w:ascii="宋体" w:hAnsi="宋体" w:cs="宋体"/>
          <w:b/>
          <w:color w:val="auto"/>
          <w:sz w:val="24"/>
          <w:szCs w:val="24"/>
          <w:highlight w:val="none"/>
        </w:rPr>
      </w:pPr>
    </w:p>
    <w:p>
      <w:pPr>
        <w:spacing w:before="240" w:beforeLines="100" w:after="240" w:afterLines="100" w:line="360" w:lineRule="auto"/>
        <w:rPr>
          <w:rFonts w:ascii="宋体" w:hAnsi="宋体" w:cs="宋体"/>
          <w:b/>
          <w:color w:val="auto"/>
          <w:sz w:val="24"/>
          <w:szCs w:val="24"/>
          <w:highlight w:val="none"/>
        </w:rPr>
      </w:pPr>
    </w:p>
    <w:p>
      <w:pPr>
        <w:spacing w:before="240" w:beforeLines="100" w:after="240" w:afterLines="100" w:line="360" w:lineRule="auto"/>
        <w:rPr>
          <w:rFonts w:ascii="楷体" w:hAnsi="楷体" w:eastAsia="楷体"/>
          <w:b/>
          <w:color w:val="auto"/>
          <w:highlight w:val="none"/>
        </w:rPr>
      </w:pPr>
    </w:p>
    <w:p>
      <w:pPr>
        <w:spacing w:before="240" w:beforeLines="100" w:after="240" w:afterLines="100" w:line="360" w:lineRule="auto"/>
        <w:rPr>
          <w:rFonts w:ascii="楷体" w:hAnsi="楷体" w:eastAsia="楷体"/>
          <w:b/>
          <w:color w:val="auto"/>
          <w:highlight w:val="none"/>
        </w:rPr>
      </w:pPr>
    </w:p>
    <w:p>
      <w:pPr>
        <w:spacing w:before="240" w:beforeLines="100" w:after="240" w:afterLines="100" w:line="360" w:lineRule="auto"/>
        <w:rPr>
          <w:rFonts w:ascii="楷体" w:hAnsi="楷体" w:eastAsia="楷体"/>
          <w:b/>
          <w:color w:val="auto"/>
          <w:highlight w:val="none"/>
        </w:rPr>
      </w:pPr>
    </w:p>
    <w:p>
      <w:pPr>
        <w:spacing w:before="240" w:beforeLines="100" w:after="240" w:afterLines="100" w:line="360" w:lineRule="auto"/>
        <w:rPr>
          <w:rFonts w:ascii="楷体" w:hAnsi="楷体" w:eastAsia="楷体"/>
          <w:b/>
          <w:color w:val="auto"/>
          <w:highlight w:val="none"/>
        </w:rPr>
      </w:pPr>
    </w:p>
    <w:p>
      <w:pPr>
        <w:spacing w:before="240" w:beforeLines="100" w:after="240" w:afterLines="100" w:line="360" w:lineRule="auto"/>
        <w:rPr>
          <w:rFonts w:ascii="楷体" w:hAnsi="楷体" w:eastAsia="楷体"/>
          <w:color w:val="auto"/>
          <w:sz w:val="28"/>
          <w:szCs w:val="28"/>
          <w:highlight w:val="none"/>
        </w:rPr>
      </w:pPr>
      <w:r>
        <w:rPr>
          <w:rFonts w:hint="eastAsia"/>
          <w:b/>
          <w:color w:val="auto"/>
          <w:sz w:val="24"/>
          <w:szCs w:val="24"/>
          <w:highlight w:val="none"/>
        </w:rPr>
        <w:t>附件二  法定代表人授权委托书</w:t>
      </w:r>
    </w:p>
    <w:p>
      <w:pPr>
        <w:pStyle w:val="14"/>
        <w:rPr>
          <w:color w:val="auto"/>
          <w:highlight w:val="none"/>
        </w:rPr>
      </w:pPr>
      <w:r>
        <w:rPr>
          <w:rFonts w:hint="eastAsia"/>
          <w:color w:val="auto"/>
          <w:highlight w:val="none"/>
        </w:rPr>
        <w:t>法定代表人授权委托书</w:t>
      </w:r>
    </w:p>
    <w:p>
      <w:pPr>
        <w:rPr>
          <w:rFonts w:hint="eastAsia" w:asciiTheme="majorEastAsia" w:hAnsiTheme="majorEastAsia" w:eastAsiaTheme="majorEastAsia"/>
          <w:color w:val="auto"/>
          <w:sz w:val="24"/>
          <w:highlight w:val="none"/>
        </w:rPr>
      </w:pPr>
    </w:p>
    <w:p>
      <w:pPr>
        <w:pStyle w:val="22"/>
        <w:adjustRightInd w:val="0"/>
        <w:snapToGrid w:val="0"/>
        <w:ind w:firstLine="0" w:firstLineChars="0"/>
        <w:rPr>
          <w:rFonts w:ascii="宋体" w:hAnsi="宋体" w:cs="宋体"/>
          <w:color w:val="auto"/>
          <w:sz w:val="28"/>
          <w:szCs w:val="28"/>
          <w:highlight w:val="none"/>
        </w:rPr>
      </w:pPr>
      <w:r>
        <w:rPr>
          <w:rFonts w:hint="eastAsia" w:ascii="宋体" w:hAnsi="宋体" w:cs="宋体"/>
          <w:color w:val="auto"/>
          <w:sz w:val="28"/>
          <w:szCs w:val="28"/>
          <w:highlight w:val="none"/>
          <w:u w:val="single"/>
        </w:rPr>
        <w:t>重汽（重庆）轻型汽车有限公司</w:t>
      </w:r>
      <w:r>
        <w:rPr>
          <w:rFonts w:hint="eastAsia" w:ascii="宋体" w:hAnsi="宋体" w:cs="宋体"/>
          <w:color w:val="auto"/>
          <w:sz w:val="28"/>
          <w:szCs w:val="28"/>
          <w:highlight w:val="none"/>
        </w:rPr>
        <w:t>（招标单位全称）：</w:t>
      </w:r>
    </w:p>
    <w:p>
      <w:pPr>
        <w:pStyle w:val="22"/>
        <w:adjustRightInd w:val="0"/>
        <w:snapToGrid w:val="0"/>
        <w:ind w:firstLine="0" w:firstLineChars="0"/>
        <w:rPr>
          <w:rFonts w:ascii="宋体" w:hAnsi="宋体" w:cs="宋体"/>
          <w:b/>
          <w:color w:val="auto"/>
          <w:sz w:val="28"/>
          <w:szCs w:val="28"/>
          <w:highlight w:val="none"/>
        </w:rPr>
      </w:pPr>
    </w:p>
    <w:p>
      <w:pPr>
        <w:adjustRightInd w:val="0"/>
        <w:snapToGrid w:val="0"/>
        <w:spacing w:line="360" w:lineRule="auto"/>
        <w:ind w:firstLine="733" w:firstLineChars="262"/>
        <w:rPr>
          <w:rFonts w:ascii="宋体" w:hAnsi="宋体" w:cs="宋体"/>
          <w:color w:val="auto"/>
          <w:sz w:val="28"/>
          <w:szCs w:val="28"/>
          <w:highlight w:val="none"/>
          <w:u w:val="singl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（投标单位全称）法人代表</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授权</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（全权代表姓名）为全权代表，参加贵处组织的</w:t>
      </w:r>
      <w:r>
        <w:rPr>
          <w:rFonts w:hint="eastAsia" w:ascii="宋体" w:hAnsi="宋体" w:cs="宋体"/>
          <w:color w:val="auto"/>
          <w:sz w:val="28"/>
          <w:szCs w:val="28"/>
          <w:highlight w:val="none"/>
          <w:u w:val="single"/>
        </w:rPr>
        <w:t xml:space="preserve"> </w:t>
      </w:r>
      <w:r>
        <w:rPr>
          <w:rFonts w:hint="eastAsia" w:ascii="宋体" w:hAnsi="宋体"/>
          <w:b/>
          <w:color w:val="auto"/>
          <w:spacing w:val="-20"/>
          <w:sz w:val="28"/>
          <w:szCs w:val="28"/>
          <w:highlight w:val="none"/>
          <w:u w:val="single"/>
        </w:rPr>
        <w:t>“</w:t>
      </w:r>
      <w:r>
        <w:rPr>
          <w:rFonts w:hint="eastAsia" w:ascii="宋体" w:hAnsi="宋体"/>
          <w:b w:val="0"/>
          <w:bCs/>
          <w:color w:val="auto"/>
          <w:spacing w:val="-20"/>
          <w:sz w:val="28"/>
          <w:szCs w:val="28"/>
          <w:highlight w:val="none"/>
          <w:u w:val="single"/>
          <w:lang w:eastAsia="zh-CN"/>
        </w:rPr>
        <w:t>2025至2026年度弱电系统维保项目</w:t>
      </w:r>
      <w:r>
        <w:rPr>
          <w:rFonts w:hint="eastAsia" w:ascii="宋体" w:hAnsi="宋体"/>
          <w:b/>
          <w:color w:val="auto"/>
          <w:spacing w:val="-20"/>
          <w:sz w:val="28"/>
          <w:szCs w:val="28"/>
          <w:highlight w:val="none"/>
          <w:u w:val="single"/>
        </w:rPr>
        <w:t>”</w:t>
      </w:r>
      <w:r>
        <w:rPr>
          <w:rFonts w:hint="eastAsia" w:ascii="宋体" w:hAnsi="宋体" w:cs="宋体"/>
          <w:color w:val="auto"/>
          <w:sz w:val="28"/>
          <w:szCs w:val="28"/>
          <w:highlight w:val="none"/>
        </w:rPr>
        <w:t>项目招标活动，全权处理招标活动中的一切事宜，对其在交流、报价、评价中所签署的一切文件和处理与之相关的一切事务，我单位予以承认。</w:t>
      </w:r>
    </w:p>
    <w:p>
      <w:pPr>
        <w:pStyle w:val="22"/>
        <w:adjustRightInd w:val="0"/>
        <w:snapToGrid w:val="0"/>
        <w:ind w:firstLine="560"/>
        <w:rPr>
          <w:rFonts w:ascii="宋体" w:hAnsi="宋体" w:cs="宋体"/>
          <w:color w:val="auto"/>
          <w:sz w:val="28"/>
          <w:szCs w:val="28"/>
          <w:highlight w:val="none"/>
        </w:rPr>
      </w:pPr>
      <w:r>
        <w:rPr>
          <w:rFonts w:hint="eastAsia" w:ascii="宋体" w:hAnsi="宋体" w:cs="宋体"/>
          <w:color w:val="auto"/>
          <w:sz w:val="28"/>
          <w:szCs w:val="28"/>
          <w:highlight w:val="none"/>
        </w:rPr>
        <w:t>　　</w:t>
      </w:r>
    </w:p>
    <w:p>
      <w:pPr>
        <w:pStyle w:val="22"/>
        <w:adjustRightInd w:val="0"/>
        <w:snapToGrid w:val="0"/>
        <w:ind w:firstLine="560"/>
        <w:rPr>
          <w:rFonts w:ascii="宋体" w:hAnsi="宋体" w:cs="宋体"/>
          <w:color w:val="auto"/>
          <w:sz w:val="28"/>
          <w:szCs w:val="28"/>
          <w:highlight w:val="none"/>
        </w:rPr>
      </w:pPr>
      <w:r>
        <w:rPr>
          <w:rFonts w:hint="eastAsia" w:ascii="宋体" w:hAnsi="宋体" w:cs="宋体"/>
          <w:color w:val="auto"/>
          <w:sz w:val="28"/>
          <w:szCs w:val="28"/>
          <w:highlight w:val="none"/>
        </w:rPr>
        <w:t>本授权书于</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u w:val="single"/>
          <w:lang w:val="en-US" w:eastAsia="zh-CN"/>
        </w:rPr>
        <w:t xml:space="preserve">2025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日盖章生效，特此声明。</w:t>
      </w:r>
    </w:p>
    <w:p>
      <w:pPr>
        <w:pStyle w:val="22"/>
        <w:adjustRightInd w:val="0"/>
        <w:snapToGrid w:val="0"/>
        <w:ind w:firstLine="560"/>
        <w:rPr>
          <w:rFonts w:ascii="宋体" w:hAnsi="宋体" w:cs="宋体"/>
          <w:color w:val="auto"/>
          <w:sz w:val="28"/>
          <w:szCs w:val="28"/>
          <w:highlight w:val="none"/>
        </w:rPr>
      </w:pPr>
    </w:p>
    <w:p>
      <w:pPr>
        <w:pStyle w:val="22"/>
        <w:adjustRightInd w:val="0"/>
        <w:snapToGrid w:val="0"/>
        <w:ind w:firstLine="560"/>
        <w:rPr>
          <w:rFonts w:ascii="宋体" w:hAnsi="宋体" w:cs="宋体"/>
          <w:color w:val="auto"/>
          <w:sz w:val="28"/>
          <w:szCs w:val="28"/>
          <w:highlight w:val="none"/>
        </w:rPr>
      </w:pPr>
      <w:r>
        <w:rPr>
          <w:rFonts w:hint="eastAsia" w:ascii="宋体" w:hAnsi="宋体" w:cs="宋体"/>
          <w:color w:val="auto"/>
          <w:sz w:val="28"/>
          <w:szCs w:val="28"/>
          <w:highlight w:val="none"/>
        </w:rPr>
        <w:t>投标单位全称（公章）：</w:t>
      </w:r>
    </w:p>
    <w:p>
      <w:pPr>
        <w:pStyle w:val="22"/>
        <w:adjustRightInd w:val="0"/>
        <w:snapToGrid w:val="0"/>
        <w:ind w:firstLine="560"/>
        <w:rPr>
          <w:rFonts w:ascii="宋体" w:hAnsi="宋体" w:cs="宋体"/>
          <w:color w:val="auto"/>
          <w:sz w:val="28"/>
          <w:szCs w:val="28"/>
          <w:highlight w:val="none"/>
        </w:rPr>
      </w:pPr>
    </w:p>
    <w:p>
      <w:pPr>
        <w:pStyle w:val="22"/>
        <w:adjustRightInd w:val="0"/>
        <w:snapToGrid w:val="0"/>
        <w:ind w:firstLine="560"/>
        <w:rPr>
          <w:rFonts w:ascii="宋体" w:hAnsi="宋体" w:cs="宋体"/>
          <w:color w:val="auto"/>
          <w:sz w:val="28"/>
          <w:szCs w:val="28"/>
          <w:highlight w:val="none"/>
        </w:rPr>
      </w:pPr>
      <w:r>
        <w:rPr>
          <w:rFonts w:hint="eastAsia" w:ascii="宋体" w:hAnsi="宋体" w:cs="宋体"/>
          <w:color w:val="auto"/>
          <w:sz w:val="28"/>
          <w:szCs w:val="28"/>
          <w:highlight w:val="none"/>
        </w:rPr>
        <w:t>法定代表人签字或盖章：</w:t>
      </w:r>
    </w:p>
    <w:p>
      <w:pPr>
        <w:pStyle w:val="22"/>
        <w:adjustRightInd w:val="0"/>
        <w:snapToGrid w:val="0"/>
        <w:ind w:firstLine="560"/>
        <w:rPr>
          <w:rFonts w:ascii="宋体" w:hAnsi="宋体" w:cs="宋体"/>
          <w:color w:val="auto"/>
          <w:sz w:val="28"/>
          <w:szCs w:val="28"/>
          <w:highlight w:val="none"/>
        </w:rPr>
      </w:pPr>
    </w:p>
    <w:p>
      <w:pPr>
        <w:pStyle w:val="22"/>
        <w:adjustRightInd w:val="0"/>
        <w:snapToGrid w:val="0"/>
        <w:ind w:firstLine="560"/>
        <w:rPr>
          <w:rFonts w:ascii="宋体" w:hAnsi="宋体" w:cs="宋体"/>
          <w:color w:val="auto"/>
          <w:sz w:val="28"/>
          <w:szCs w:val="28"/>
          <w:highlight w:val="none"/>
        </w:rPr>
      </w:pPr>
      <w:r>
        <w:rPr>
          <w:rFonts w:hint="eastAsia" w:ascii="宋体" w:hAnsi="宋体" w:cs="宋体"/>
          <w:color w:val="auto"/>
          <w:sz w:val="28"/>
          <w:szCs w:val="28"/>
          <w:highlight w:val="none"/>
        </w:rPr>
        <w:t>授权代表人签字或盖章：</w:t>
      </w:r>
    </w:p>
    <w:p>
      <w:pPr>
        <w:ind w:firstLine="560" w:firstLineChars="200"/>
        <w:jc w:val="left"/>
        <w:rPr>
          <w:rFonts w:ascii="宋体" w:hAnsi="宋体" w:cs="宋体"/>
          <w:color w:val="auto"/>
          <w:sz w:val="28"/>
          <w:szCs w:val="28"/>
          <w:highlight w:val="none"/>
        </w:rPr>
      </w:pPr>
    </w:p>
    <w:p>
      <w:pPr>
        <w:ind w:firstLine="560" w:firstLineChars="200"/>
        <w:jc w:val="left"/>
        <w:rPr>
          <w:rFonts w:ascii="宋体" w:hAnsi="宋体" w:cs="宋体"/>
          <w:color w:val="auto"/>
          <w:sz w:val="28"/>
          <w:szCs w:val="28"/>
          <w:highlight w:val="none"/>
        </w:rPr>
      </w:pPr>
    </w:p>
    <w:p>
      <w:pPr>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授权代理人身份证复印件粘贴如下（并提供身份证原件）：</w:t>
      </w:r>
    </w:p>
    <w:p>
      <w:pPr>
        <w:ind w:firstLine="480" w:firstLineChars="200"/>
        <w:jc w:val="left"/>
        <w:rPr>
          <w:rFonts w:ascii="宋体" w:hAnsi="宋体" w:cs="宋体"/>
          <w:color w:val="auto"/>
          <w:sz w:val="24"/>
          <w:szCs w:val="28"/>
          <w:highlight w:val="none"/>
        </w:rPr>
      </w:pPr>
    </w:p>
    <w:p>
      <w:pPr>
        <w:spacing w:before="240" w:beforeLines="100" w:after="240" w:afterLines="100" w:line="360" w:lineRule="auto"/>
        <w:rPr>
          <w:b/>
          <w:color w:val="auto"/>
          <w:sz w:val="24"/>
          <w:szCs w:val="24"/>
          <w:highlight w:val="none"/>
        </w:rPr>
      </w:pPr>
      <w:r>
        <w:rPr>
          <w:rFonts w:hint="eastAsia"/>
          <w:b/>
          <w:color w:val="auto"/>
          <w:sz w:val="24"/>
          <w:szCs w:val="24"/>
          <w:highlight w:val="none"/>
        </w:rPr>
        <w:t>附件三   投标函</w:t>
      </w:r>
    </w:p>
    <w:p>
      <w:pPr>
        <w:pStyle w:val="14"/>
        <w:rPr>
          <w:color w:val="auto"/>
          <w:highlight w:val="none"/>
        </w:rPr>
      </w:pPr>
      <w:r>
        <w:rPr>
          <w:rFonts w:hint="eastAsia"/>
          <w:color w:val="auto"/>
          <w:highlight w:val="none"/>
        </w:rPr>
        <w:t>投标函</w:t>
      </w:r>
    </w:p>
    <w:p>
      <w:pPr>
        <w:tabs>
          <w:tab w:val="left" w:pos="3600"/>
        </w:tabs>
        <w:autoSpaceDE w:val="0"/>
        <w:autoSpaceDN w:val="0"/>
        <w:adjustRightInd w:val="0"/>
        <w:spacing w:line="360" w:lineRule="auto"/>
        <w:ind w:right="-20"/>
        <w:jc w:val="left"/>
        <w:rPr>
          <w:rFonts w:ascii="宋体" w:hAnsi="宋体" w:cs="MingLiU"/>
          <w:snapToGrid w:val="0"/>
          <w:color w:val="auto"/>
          <w:kern w:val="0"/>
          <w:sz w:val="24"/>
          <w:szCs w:val="24"/>
          <w:highlight w:val="none"/>
        </w:rPr>
      </w:pPr>
      <w:r>
        <w:rPr>
          <w:rFonts w:hint="eastAsia" w:ascii="宋体" w:hAnsi="宋体"/>
          <w:b/>
          <w:color w:val="auto"/>
          <w:spacing w:val="-20"/>
          <w:sz w:val="24"/>
          <w:szCs w:val="24"/>
          <w:highlight w:val="none"/>
        </w:rPr>
        <w:t>重汽（重庆）轻型汽车有限公司</w:t>
      </w:r>
      <w:r>
        <w:rPr>
          <w:rFonts w:hint="eastAsia" w:ascii="宋体" w:hAnsi="宋体" w:cs="MingLiU"/>
          <w:snapToGrid w:val="0"/>
          <w:color w:val="auto"/>
          <w:kern w:val="0"/>
          <w:sz w:val="24"/>
          <w:szCs w:val="24"/>
          <w:highlight w:val="none"/>
        </w:rPr>
        <w:t>：</w:t>
      </w:r>
    </w:p>
    <w:p>
      <w:pPr>
        <w:autoSpaceDE w:val="0"/>
        <w:autoSpaceDN w:val="0"/>
        <w:adjustRightInd w:val="0"/>
        <w:spacing w:line="360" w:lineRule="auto"/>
        <w:ind w:firstLine="480" w:firstLineChars="200"/>
        <w:jc w:val="left"/>
        <w:rPr>
          <w:rFonts w:hint="default" w:ascii="宋体" w:hAnsi="宋体" w:eastAsia="宋体"/>
          <w:color w:val="auto"/>
          <w:sz w:val="24"/>
          <w:szCs w:val="24"/>
          <w:highlight w:val="none"/>
          <w:lang w:val="en-US" w:eastAsia="zh-CN"/>
        </w:rPr>
      </w:pPr>
      <w:r>
        <w:rPr>
          <w:rFonts w:hint="eastAsia"/>
          <w:color w:val="auto"/>
          <w:sz w:val="24"/>
          <w:szCs w:val="24"/>
          <w:highlight w:val="none"/>
        </w:rPr>
        <w:t>我方已仔细研究了</w:t>
      </w:r>
      <w:r>
        <w:rPr>
          <w:rFonts w:hint="eastAsia"/>
          <w:color w:val="auto"/>
          <w:sz w:val="24"/>
          <w:szCs w:val="24"/>
          <w:highlight w:val="none"/>
          <w:u w:val="single"/>
        </w:rPr>
        <w:t xml:space="preserve"> </w:t>
      </w:r>
      <w:r>
        <w:rPr>
          <w:rFonts w:hint="eastAsia" w:ascii="宋体" w:hAnsi="宋体"/>
          <w:b/>
          <w:color w:val="auto"/>
          <w:spacing w:val="-20"/>
          <w:sz w:val="24"/>
          <w:szCs w:val="24"/>
          <w:highlight w:val="none"/>
          <w:u w:val="single"/>
          <w:lang w:eastAsia="zh-CN"/>
        </w:rPr>
        <w:t>2025至2026年度弱电系统维保项目</w:t>
      </w:r>
      <w:r>
        <w:rPr>
          <w:rFonts w:hint="eastAsia"/>
          <w:color w:val="auto"/>
          <w:sz w:val="24"/>
          <w:szCs w:val="24"/>
          <w:highlight w:val="none"/>
          <w:u w:val="single"/>
        </w:rPr>
        <w:t xml:space="preserve"> </w:t>
      </w:r>
      <w:r>
        <w:rPr>
          <w:rFonts w:hint="eastAsia"/>
          <w:color w:val="auto"/>
          <w:sz w:val="24"/>
          <w:szCs w:val="24"/>
          <w:highlight w:val="none"/>
        </w:rPr>
        <w:t>招标文件的全部内容</w:t>
      </w: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 xml:space="preserve">愿意以赋权重不含税单价合计人民币大写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元（¥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元）的报价投标。各维保类别汇总报价如下：</w:t>
      </w:r>
    </w:p>
    <w:tbl>
      <w:tblPr>
        <w:tblStyle w:val="15"/>
        <w:tblpPr w:leftFromText="180" w:rightFromText="180" w:vertAnchor="text" w:horzAnchor="page" w:tblpX="1273" w:tblpY="93"/>
        <w:tblOverlap w:val="never"/>
        <w:tblW w:w="49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540"/>
        <w:gridCol w:w="2278"/>
        <w:gridCol w:w="889"/>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12" w:type="pct"/>
            <w:noWrap w:val="0"/>
            <w:vAlign w:val="center"/>
          </w:tcPr>
          <w:p>
            <w:pPr>
              <w:spacing w:line="276" w:lineRule="auto"/>
              <w:jc w:val="center"/>
              <w:rPr>
                <w:rFonts w:hint="eastAsia" w:ascii="Calibri" w:hAnsi="Calibri" w:eastAsia="宋体"/>
                <w:b w:val="0"/>
                <w:bCs/>
                <w:color w:val="auto"/>
                <w:sz w:val="21"/>
                <w:szCs w:val="21"/>
                <w:highlight w:val="none"/>
                <w:lang w:val="en-US" w:eastAsia="zh-CN"/>
              </w:rPr>
            </w:pPr>
            <w:r>
              <w:rPr>
                <w:rFonts w:hint="eastAsia" w:ascii="Calibri" w:hAnsi="Calibri"/>
                <w:b w:val="0"/>
                <w:bCs/>
                <w:color w:val="auto"/>
                <w:sz w:val="24"/>
                <w:szCs w:val="24"/>
                <w:highlight w:val="none"/>
                <w:lang w:val="en-US" w:eastAsia="zh-CN"/>
              </w:rPr>
              <w:t>序号</w:t>
            </w:r>
          </w:p>
        </w:tc>
        <w:tc>
          <w:tcPr>
            <w:tcW w:w="1302" w:type="pct"/>
            <w:noWrap w:val="0"/>
            <w:vAlign w:val="center"/>
          </w:tcPr>
          <w:p>
            <w:pPr>
              <w:spacing w:line="276" w:lineRule="auto"/>
              <w:jc w:val="center"/>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维保类别</w:t>
            </w:r>
          </w:p>
        </w:tc>
        <w:tc>
          <w:tcPr>
            <w:tcW w:w="116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napToGrid/>
                <w:color w:val="auto"/>
                <w:sz w:val="24"/>
                <w:szCs w:val="24"/>
                <w:highlight w:val="none"/>
                <w:lang w:eastAsia="zh-CN"/>
              </w:rPr>
            </w:pPr>
            <w:r>
              <w:rPr>
                <w:rFonts w:hint="eastAsia" w:ascii="宋体" w:hAnsi="宋体" w:cs="宋体"/>
                <w:snapToGrid/>
                <w:color w:val="auto"/>
                <w:sz w:val="24"/>
                <w:szCs w:val="24"/>
                <w:highlight w:val="none"/>
                <w:lang w:val="en-US" w:eastAsia="zh-CN"/>
              </w:rPr>
              <w:t>不含税单价</w:t>
            </w:r>
            <w:r>
              <w:rPr>
                <w:rFonts w:hint="eastAsia" w:ascii="宋体" w:hAnsi="宋体" w:eastAsia="宋体" w:cs="宋体"/>
                <w:snapToGrid/>
                <w:color w:val="auto"/>
                <w:sz w:val="24"/>
                <w:szCs w:val="24"/>
                <w:highlight w:val="none"/>
                <w:lang w:val="en-US" w:eastAsia="zh-CN"/>
              </w:rPr>
              <w:t>小计</w:t>
            </w:r>
            <w:r>
              <w:rPr>
                <w:rFonts w:hint="eastAsia" w:ascii="宋体" w:hAnsi="宋体" w:cs="宋体"/>
                <w:snapToGrid/>
                <w:color w:val="auto"/>
                <w:sz w:val="24"/>
                <w:szCs w:val="24"/>
                <w:highlight w:val="none"/>
                <w:lang w:val="en-US" w:eastAsia="zh-CN"/>
              </w:rPr>
              <w:t>-</w:t>
            </w:r>
            <w:r>
              <w:rPr>
                <w:rFonts w:hint="eastAsia" w:ascii="宋体" w:hAnsi="宋体" w:eastAsia="宋体" w:cs="宋体"/>
                <w:snapToGrid/>
                <w:color w:val="auto"/>
                <w:sz w:val="24"/>
                <w:szCs w:val="24"/>
                <w:highlight w:val="none"/>
                <w:lang w:val="en-US" w:eastAsia="zh-CN"/>
              </w:rPr>
              <w:t>元</w:t>
            </w:r>
          </w:p>
        </w:tc>
        <w:tc>
          <w:tcPr>
            <w:tcW w:w="4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权重</w:t>
            </w:r>
          </w:p>
        </w:tc>
        <w:tc>
          <w:tcPr>
            <w:tcW w:w="166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赋权重不含税单价-元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12" w:type="pct"/>
            <w:noWrap w:val="0"/>
            <w:vAlign w:val="center"/>
          </w:tcPr>
          <w:p>
            <w:pPr>
              <w:spacing w:line="276" w:lineRule="auto"/>
              <w:jc w:val="center"/>
              <w:rPr>
                <w:rFonts w:hint="default" w:ascii="宋体" w:hAnsi="宋体" w:eastAsia="宋体" w:cs="宋体"/>
                <w:snapToGrid/>
                <w:color w:val="auto"/>
                <w:kern w:val="2"/>
                <w:sz w:val="24"/>
                <w:szCs w:val="24"/>
                <w:highlight w:val="none"/>
                <w:lang w:val="en-US" w:eastAsia="zh-CN"/>
              </w:rPr>
            </w:pPr>
            <w:r>
              <w:rPr>
                <w:rFonts w:hint="eastAsia" w:ascii="宋体" w:hAnsi="宋体" w:cs="宋体"/>
                <w:snapToGrid/>
                <w:color w:val="auto"/>
                <w:kern w:val="2"/>
                <w:sz w:val="24"/>
                <w:szCs w:val="24"/>
                <w:highlight w:val="none"/>
                <w:lang w:val="en-US" w:eastAsia="zh-CN"/>
              </w:rPr>
              <w:t>1</w:t>
            </w:r>
          </w:p>
        </w:tc>
        <w:tc>
          <w:tcPr>
            <w:tcW w:w="1302" w:type="pct"/>
            <w:noWrap w:val="0"/>
            <w:vAlign w:val="center"/>
          </w:tcPr>
          <w:p>
            <w:pPr>
              <w:spacing w:line="276" w:lineRule="auto"/>
              <w:jc w:val="left"/>
              <w:rPr>
                <w:rFonts w:hint="default" w:ascii="宋体" w:hAnsi="宋体" w:eastAsia="宋体" w:cs="宋体"/>
                <w:b w:val="0"/>
                <w:bCs/>
                <w:color w:val="auto"/>
                <w:sz w:val="24"/>
                <w:szCs w:val="24"/>
                <w:highlight w:val="none"/>
                <w:lang w:val="en-US" w:eastAsia="zh-CN"/>
              </w:rPr>
            </w:pPr>
            <w:r>
              <w:rPr>
                <w:rFonts w:hint="eastAsia" w:ascii="宋体" w:hAnsi="宋体" w:eastAsia="宋体" w:cs="宋体"/>
                <w:snapToGrid/>
                <w:color w:val="auto"/>
                <w:kern w:val="2"/>
                <w:sz w:val="24"/>
                <w:szCs w:val="24"/>
                <w:highlight w:val="none"/>
                <w:lang w:eastAsia="zh-CN"/>
              </w:rPr>
              <w:t>综合布线</w:t>
            </w:r>
            <w:r>
              <w:rPr>
                <w:rFonts w:hint="eastAsia" w:ascii="宋体" w:hAnsi="宋体" w:cs="宋体"/>
                <w:snapToGrid/>
                <w:color w:val="auto"/>
                <w:kern w:val="2"/>
                <w:sz w:val="24"/>
                <w:szCs w:val="24"/>
                <w:highlight w:val="none"/>
                <w:lang w:val="en-US" w:eastAsia="zh-CN"/>
              </w:rPr>
              <w:t>类-A1</w:t>
            </w:r>
          </w:p>
        </w:tc>
        <w:tc>
          <w:tcPr>
            <w:tcW w:w="1168" w:type="pct"/>
            <w:noWrap w:val="0"/>
            <w:vAlign w:val="center"/>
          </w:tcPr>
          <w:p>
            <w:pPr>
              <w:spacing w:line="276" w:lineRule="auto"/>
              <w:jc w:val="center"/>
              <w:rPr>
                <w:rFonts w:hint="eastAsia" w:asciiTheme="minorEastAsia" w:hAnsiTheme="minorEastAsia" w:eastAsiaTheme="minorEastAsia" w:cstheme="minorEastAsia"/>
                <w:color w:val="auto"/>
                <w:sz w:val="24"/>
                <w:szCs w:val="24"/>
                <w:highlight w:val="none"/>
              </w:rPr>
            </w:pPr>
          </w:p>
        </w:tc>
        <w:tc>
          <w:tcPr>
            <w:tcW w:w="455" w:type="pct"/>
            <w:noWrap w:val="0"/>
            <w:vAlign w:val="bottom"/>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4"/>
                <w:szCs w:val="24"/>
                <w:highlight w:val="none"/>
              </w:rPr>
            </w:pPr>
            <w:r>
              <w:rPr>
                <w:rFonts w:hint="eastAsia" w:ascii="等线" w:hAnsi="等线" w:eastAsia="等线" w:cs="等线"/>
                <w:i w:val="0"/>
                <w:iCs w:val="0"/>
                <w:color w:val="000000"/>
                <w:kern w:val="0"/>
                <w:sz w:val="20"/>
                <w:szCs w:val="20"/>
                <w:u w:val="none"/>
                <w:lang w:val="en-US" w:eastAsia="zh-CN" w:bidi="ar"/>
              </w:rPr>
              <w:t>35%</w:t>
            </w:r>
          </w:p>
        </w:tc>
        <w:tc>
          <w:tcPr>
            <w:tcW w:w="1661" w:type="pct"/>
            <w:noWrap w:val="0"/>
            <w:vAlign w:val="center"/>
          </w:tcPr>
          <w:p>
            <w:pPr>
              <w:spacing w:line="276" w:lineRule="auto"/>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12" w:type="pct"/>
            <w:noWrap w:val="0"/>
            <w:vAlign w:val="center"/>
          </w:tcPr>
          <w:p>
            <w:pPr>
              <w:spacing w:line="276" w:lineRule="auto"/>
              <w:jc w:val="center"/>
              <w:rPr>
                <w:rFonts w:hint="eastAsia" w:ascii="Calibri" w:hAnsi="Calibri" w:eastAsia="宋体"/>
                <w:b w:val="0"/>
                <w:bCs/>
                <w:color w:val="auto"/>
                <w:sz w:val="21"/>
                <w:szCs w:val="21"/>
                <w:highlight w:val="none"/>
                <w:lang w:val="en-US" w:eastAsia="zh-CN"/>
              </w:rPr>
            </w:pPr>
            <w:r>
              <w:rPr>
                <w:rFonts w:hint="eastAsia" w:ascii="宋体" w:hAnsi="宋体" w:cs="宋体"/>
                <w:snapToGrid/>
                <w:color w:val="auto"/>
                <w:kern w:val="2"/>
                <w:sz w:val="24"/>
                <w:szCs w:val="24"/>
                <w:highlight w:val="none"/>
                <w:lang w:val="en-US" w:eastAsia="zh-CN"/>
              </w:rPr>
              <w:t>2</w:t>
            </w:r>
          </w:p>
        </w:tc>
        <w:tc>
          <w:tcPr>
            <w:tcW w:w="1302" w:type="pct"/>
            <w:noWrap w:val="0"/>
            <w:vAlign w:val="center"/>
          </w:tcPr>
          <w:p>
            <w:pPr>
              <w:spacing w:line="276" w:lineRule="auto"/>
              <w:jc w:val="left"/>
              <w:rPr>
                <w:rFonts w:hint="default" w:ascii="宋体" w:hAnsi="宋体" w:eastAsia="宋体" w:cs="宋体"/>
                <w:b w:val="0"/>
                <w:bCs/>
                <w:color w:val="auto"/>
                <w:sz w:val="24"/>
                <w:szCs w:val="24"/>
                <w:highlight w:val="none"/>
                <w:lang w:val="en-US" w:eastAsia="zh-CN"/>
              </w:rPr>
            </w:pPr>
            <w:r>
              <w:rPr>
                <w:rFonts w:hint="eastAsia" w:ascii="宋体" w:hAnsi="宋体" w:eastAsia="宋体" w:cs="宋体"/>
                <w:snapToGrid/>
                <w:color w:val="auto"/>
                <w:kern w:val="2"/>
                <w:sz w:val="24"/>
                <w:szCs w:val="24"/>
                <w:highlight w:val="none"/>
                <w:lang w:eastAsia="zh-CN"/>
              </w:rPr>
              <w:t>网络设备</w:t>
            </w:r>
            <w:r>
              <w:rPr>
                <w:rFonts w:hint="eastAsia" w:ascii="宋体" w:hAnsi="宋体" w:cs="宋体"/>
                <w:snapToGrid/>
                <w:color w:val="auto"/>
                <w:kern w:val="2"/>
                <w:sz w:val="24"/>
                <w:szCs w:val="24"/>
                <w:highlight w:val="none"/>
                <w:lang w:val="en-US" w:eastAsia="zh-CN"/>
              </w:rPr>
              <w:t>类-A2</w:t>
            </w:r>
          </w:p>
        </w:tc>
        <w:tc>
          <w:tcPr>
            <w:tcW w:w="1168" w:type="pct"/>
            <w:noWrap w:val="0"/>
            <w:vAlign w:val="center"/>
          </w:tcPr>
          <w:p>
            <w:pPr>
              <w:spacing w:line="276" w:lineRule="auto"/>
              <w:jc w:val="center"/>
              <w:rPr>
                <w:rFonts w:hint="eastAsia" w:asciiTheme="minorEastAsia" w:hAnsiTheme="minorEastAsia" w:eastAsiaTheme="minorEastAsia" w:cstheme="minorEastAsia"/>
                <w:color w:val="auto"/>
                <w:sz w:val="24"/>
                <w:szCs w:val="24"/>
                <w:highlight w:val="none"/>
              </w:rPr>
            </w:pPr>
          </w:p>
        </w:tc>
        <w:tc>
          <w:tcPr>
            <w:tcW w:w="455" w:type="pct"/>
            <w:noWrap w:val="0"/>
            <w:vAlign w:val="bottom"/>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4"/>
                <w:szCs w:val="24"/>
                <w:highlight w:val="none"/>
              </w:rPr>
            </w:pPr>
            <w:r>
              <w:rPr>
                <w:rFonts w:hint="eastAsia" w:ascii="等线" w:hAnsi="等线" w:eastAsia="等线" w:cs="等线"/>
                <w:i w:val="0"/>
                <w:iCs w:val="0"/>
                <w:color w:val="000000"/>
                <w:kern w:val="0"/>
                <w:sz w:val="20"/>
                <w:szCs w:val="20"/>
                <w:u w:val="none"/>
                <w:lang w:val="en-US" w:eastAsia="zh-CN" w:bidi="ar"/>
              </w:rPr>
              <w:t>25%</w:t>
            </w:r>
          </w:p>
        </w:tc>
        <w:tc>
          <w:tcPr>
            <w:tcW w:w="1661" w:type="pct"/>
            <w:noWrap w:val="0"/>
            <w:vAlign w:val="center"/>
          </w:tcPr>
          <w:p>
            <w:pPr>
              <w:spacing w:line="276" w:lineRule="auto"/>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12" w:type="pct"/>
            <w:noWrap w:val="0"/>
            <w:vAlign w:val="center"/>
          </w:tcPr>
          <w:p>
            <w:pPr>
              <w:spacing w:line="276" w:lineRule="auto"/>
              <w:jc w:val="center"/>
              <w:rPr>
                <w:rFonts w:hint="eastAsia" w:ascii="Calibri" w:hAnsi="Calibri" w:eastAsia="宋体"/>
                <w:b w:val="0"/>
                <w:bCs/>
                <w:color w:val="auto"/>
                <w:sz w:val="21"/>
                <w:szCs w:val="21"/>
                <w:highlight w:val="none"/>
                <w:lang w:val="en-US" w:eastAsia="zh-CN"/>
              </w:rPr>
            </w:pPr>
            <w:r>
              <w:rPr>
                <w:rFonts w:hint="eastAsia" w:ascii="宋体" w:hAnsi="宋体" w:cs="宋体"/>
                <w:snapToGrid/>
                <w:color w:val="auto"/>
                <w:kern w:val="2"/>
                <w:sz w:val="24"/>
                <w:szCs w:val="24"/>
                <w:highlight w:val="none"/>
                <w:lang w:val="en-US" w:eastAsia="zh-CN"/>
              </w:rPr>
              <w:t>3</w:t>
            </w:r>
          </w:p>
        </w:tc>
        <w:tc>
          <w:tcPr>
            <w:tcW w:w="1302" w:type="pct"/>
            <w:noWrap w:val="0"/>
            <w:vAlign w:val="center"/>
          </w:tcPr>
          <w:p>
            <w:pPr>
              <w:spacing w:line="276" w:lineRule="auto"/>
              <w:jc w:val="left"/>
              <w:rPr>
                <w:rFonts w:hint="default" w:ascii="宋体" w:hAnsi="宋体" w:eastAsia="宋体" w:cs="宋体"/>
                <w:b w:val="0"/>
                <w:bCs/>
                <w:color w:val="auto"/>
                <w:sz w:val="24"/>
                <w:szCs w:val="24"/>
                <w:highlight w:val="none"/>
                <w:lang w:val="en-US"/>
              </w:rPr>
            </w:pPr>
            <w:r>
              <w:rPr>
                <w:rFonts w:hint="eastAsia" w:ascii="宋体" w:hAnsi="宋体" w:eastAsia="宋体" w:cs="宋体"/>
                <w:snapToGrid/>
                <w:color w:val="auto"/>
                <w:kern w:val="2"/>
                <w:sz w:val="24"/>
                <w:szCs w:val="24"/>
                <w:highlight w:val="none"/>
                <w:lang w:eastAsia="zh-CN"/>
              </w:rPr>
              <w:t>视频监控设备</w:t>
            </w:r>
            <w:r>
              <w:rPr>
                <w:rFonts w:hint="eastAsia" w:ascii="宋体" w:hAnsi="宋体" w:cs="宋体"/>
                <w:snapToGrid/>
                <w:color w:val="auto"/>
                <w:kern w:val="2"/>
                <w:sz w:val="24"/>
                <w:szCs w:val="24"/>
                <w:highlight w:val="none"/>
                <w:lang w:val="en-US" w:eastAsia="zh-CN"/>
              </w:rPr>
              <w:t>类-A3</w:t>
            </w:r>
          </w:p>
        </w:tc>
        <w:tc>
          <w:tcPr>
            <w:tcW w:w="1168" w:type="pct"/>
            <w:noWrap w:val="0"/>
            <w:vAlign w:val="center"/>
          </w:tcPr>
          <w:p>
            <w:pPr>
              <w:spacing w:line="276" w:lineRule="auto"/>
              <w:jc w:val="center"/>
              <w:rPr>
                <w:rFonts w:hint="eastAsia" w:asciiTheme="minorEastAsia" w:hAnsiTheme="minorEastAsia" w:eastAsiaTheme="minorEastAsia" w:cstheme="minorEastAsia"/>
                <w:color w:val="auto"/>
                <w:sz w:val="24"/>
                <w:szCs w:val="24"/>
                <w:highlight w:val="none"/>
              </w:rPr>
            </w:pPr>
          </w:p>
        </w:tc>
        <w:tc>
          <w:tcPr>
            <w:tcW w:w="455" w:type="pct"/>
            <w:noWrap w:val="0"/>
            <w:vAlign w:val="bottom"/>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4"/>
                <w:szCs w:val="24"/>
                <w:highlight w:val="none"/>
              </w:rPr>
            </w:pPr>
            <w:r>
              <w:rPr>
                <w:rFonts w:hint="eastAsia" w:ascii="等线" w:hAnsi="等线" w:eastAsia="等线" w:cs="等线"/>
                <w:i w:val="0"/>
                <w:iCs w:val="0"/>
                <w:color w:val="000000"/>
                <w:kern w:val="0"/>
                <w:sz w:val="20"/>
                <w:szCs w:val="20"/>
                <w:u w:val="none"/>
                <w:lang w:val="en-US" w:eastAsia="zh-CN" w:bidi="ar"/>
              </w:rPr>
              <w:t>20%</w:t>
            </w:r>
          </w:p>
        </w:tc>
        <w:tc>
          <w:tcPr>
            <w:tcW w:w="1661" w:type="pct"/>
            <w:noWrap w:val="0"/>
            <w:vAlign w:val="center"/>
          </w:tcPr>
          <w:p>
            <w:pPr>
              <w:spacing w:line="276" w:lineRule="auto"/>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12" w:type="pct"/>
            <w:noWrap w:val="0"/>
            <w:vAlign w:val="center"/>
          </w:tcPr>
          <w:p>
            <w:pPr>
              <w:spacing w:line="276" w:lineRule="auto"/>
              <w:jc w:val="center"/>
              <w:rPr>
                <w:rFonts w:hint="eastAsia" w:ascii="Calibri" w:hAnsi="Calibri" w:eastAsia="宋体"/>
                <w:b w:val="0"/>
                <w:bCs/>
                <w:color w:val="auto"/>
                <w:sz w:val="21"/>
                <w:szCs w:val="21"/>
                <w:highlight w:val="none"/>
                <w:lang w:val="en-US" w:eastAsia="zh-CN"/>
              </w:rPr>
            </w:pPr>
            <w:r>
              <w:rPr>
                <w:rFonts w:hint="eastAsia" w:ascii="宋体" w:hAnsi="宋体" w:cs="宋体"/>
                <w:snapToGrid/>
                <w:color w:val="auto"/>
                <w:kern w:val="2"/>
                <w:sz w:val="24"/>
                <w:szCs w:val="24"/>
                <w:highlight w:val="none"/>
                <w:lang w:val="en-US" w:eastAsia="zh-CN"/>
              </w:rPr>
              <w:t>4</w:t>
            </w:r>
          </w:p>
        </w:tc>
        <w:tc>
          <w:tcPr>
            <w:tcW w:w="1302" w:type="pct"/>
            <w:noWrap w:val="0"/>
            <w:vAlign w:val="center"/>
          </w:tcPr>
          <w:p>
            <w:pPr>
              <w:spacing w:line="276" w:lineRule="auto"/>
              <w:jc w:val="left"/>
              <w:rPr>
                <w:rFonts w:hint="default" w:ascii="宋体" w:hAnsi="宋体" w:eastAsia="宋体" w:cs="宋体"/>
                <w:b w:val="0"/>
                <w:bCs/>
                <w:color w:val="auto"/>
                <w:sz w:val="24"/>
                <w:szCs w:val="24"/>
                <w:highlight w:val="none"/>
                <w:lang w:val="en-US"/>
              </w:rPr>
            </w:pPr>
            <w:r>
              <w:rPr>
                <w:rFonts w:hint="eastAsia" w:ascii="宋体" w:hAnsi="宋体" w:eastAsia="宋体" w:cs="宋体"/>
                <w:snapToGrid/>
                <w:color w:val="auto"/>
                <w:kern w:val="2"/>
                <w:sz w:val="24"/>
                <w:szCs w:val="24"/>
                <w:highlight w:val="none"/>
                <w:lang w:eastAsia="zh-CN"/>
              </w:rPr>
              <w:t>一卡通系统</w:t>
            </w:r>
            <w:r>
              <w:rPr>
                <w:rFonts w:hint="eastAsia" w:ascii="宋体" w:hAnsi="宋体" w:cs="宋体"/>
                <w:snapToGrid/>
                <w:color w:val="auto"/>
                <w:kern w:val="2"/>
                <w:sz w:val="24"/>
                <w:szCs w:val="24"/>
                <w:highlight w:val="none"/>
                <w:lang w:val="en-US" w:eastAsia="zh-CN"/>
              </w:rPr>
              <w:t>类-A4</w:t>
            </w:r>
          </w:p>
        </w:tc>
        <w:tc>
          <w:tcPr>
            <w:tcW w:w="1168" w:type="pct"/>
            <w:noWrap w:val="0"/>
            <w:vAlign w:val="center"/>
          </w:tcPr>
          <w:p>
            <w:pPr>
              <w:spacing w:line="276" w:lineRule="auto"/>
              <w:jc w:val="center"/>
              <w:rPr>
                <w:rFonts w:hint="eastAsia" w:asciiTheme="minorEastAsia" w:hAnsiTheme="minorEastAsia" w:eastAsiaTheme="minorEastAsia" w:cstheme="minorEastAsia"/>
                <w:color w:val="auto"/>
                <w:sz w:val="24"/>
                <w:szCs w:val="24"/>
                <w:highlight w:val="none"/>
              </w:rPr>
            </w:pPr>
          </w:p>
        </w:tc>
        <w:tc>
          <w:tcPr>
            <w:tcW w:w="455" w:type="pct"/>
            <w:noWrap w:val="0"/>
            <w:vAlign w:val="bottom"/>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4"/>
                <w:szCs w:val="24"/>
                <w:highlight w:val="none"/>
              </w:rPr>
            </w:pPr>
            <w:r>
              <w:rPr>
                <w:rFonts w:hint="eastAsia" w:ascii="等线" w:hAnsi="等线" w:eastAsia="等线" w:cs="等线"/>
                <w:i w:val="0"/>
                <w:iCs w:val="0"/>
                <w:color w:val="000000"/>
                <w:kern w:val="0"/>
                <w:sz w:val="20"/>
                <w:szCs w:val="20"/>
                <w:u w:val="none"/>
                <w:lang w:val="en-US" w:eastAsia="zh-CN" w:bidi="ar"/>
              </w:rPr>
              <w:t>5%</w:t>
            </w:r>
          </w:p>
        </w:tc>
        <w:tc>
          <w:tcPr>
            <w:tcW w:w="1661" w:type="pct"/>
            <w:noWrap w:val="0"/>
            <w:vAlign w:val="center"/>
          </w:tcPr>
          <w:p>
            <w:pPr>
              <w:spacing w:line="276" w:lineRule="auto"/>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12" w:type="pct"/>
            <w:noWrap w:val="0"/>
            <w:vAlign w:val="center"/>
          </w:tcPr>
          <w:p>
            <w:pPr>
              <w:spacing w:line="276" w:lineRule="auto"/>
              <w:jc w:val="center"/>
              <w:rPr>
                <w:rFonts w:hint="eastAsia" w:ascii="Calibri" w:hAnsi="Calibri" w:eastAsia="宋体"/>
                <w:b w:val="0"/>
                <w:bCs/>
                <w:color w:val="auto"/>
                <w:sz w:val="21"/>
                <w:szCs w:val="21"/>
                <w:highlight w:val="none"/>
                <w:lang w:val="en-US" w:eastAsia="zh-CN"/>
              </w:rPr>
            </w:pPr>
            <w:r>
              <w:rPr>
                <w:rFonts w:hint="eastAsia" w:ascii="宋体" w:hAnsi="宋体" w:cs="宋体"/>
                <w:snapToGrid/>
                <w:color w:val="auto"/>
                <w:kern w:val="2"/>
                <w:sz w:val="24"/>
                <w:szCs w:val="24"/>
                <w:highlight w:val="none"/>
                <w:lang w:val="en-US" w:eastAsia="zh-CN"/>
              </w:rPr>
              <w:t>5</w:t>
            </w:r>
          </w:p>
        </w:tc>
        <w:tc>
          <w:tcPr>
            <w:tcW w:w="1302" w:type="pct"/>
            <w:noWrap w:val="0"/>
            <w:vAlign w:val="center"/>
          </w:tcPr>
          <w:p>
            <w:pPr>
              <w:spacing w:line="276" w:lineRule="auto"/>
              <w:jc w:val="left"/>
              <w:rPr>
                <w:rFonts w:hint="default" w:ascii="宋体" w:hAnsi="宋体" w:eastAsia="宋体" w:cs="宋体"/>
                <w:b w:val="0"/>
                <w:bCs/>
                <w:color w:val="auto"/>
                <w:sz w:val="24"/>
                <w:szCs w:val="24"/>
                <w:highlight w:val="none"/>
                <w:lang w:val="en-US"/>
              </w:rPr>
            </w:pPr>
            <w:r>
              <w:rPr>
                <w:rFonts w:hint="eastAsia" w:ascii="宋体" w:hAnsi="宋体" w:eastAsia="宋体" w:cs="宋体"/>
                <w:snapToGrid/>
                <w:color w:val="auto"/>
                <w:kern w:val="2"/>
                <w:sz w:val="24"/>
                <w:szCs w:val="24"/>
                <w:highlight w:val="none"/>
                <w:lang w:eastAsia="zh-CN"/>
              </w:rPr>
              <w:t>广播系统</w:t>
            </w:r>
            <w:r>
              <w:rPr>
                <w:rFonts w:hint="eastAsia" w:ascii="宋体" w:hAnsi="宋体" w:cs="宋体"/>
                <w:snapToGrid/>
                <w:color w:val="auto"/>
                <w:kern w:val="2"/>
                <w:sz w:val="24"/>
                <w:szCs w:val="24"/>
                <w:highlight w:val="none"/>
                <w:lang w:val="en-US" w:eastAsia="zh-CN"/>
              </w:rPr>
              <w:t>类-A5</w:t>
            </w:r>
          </w:p>
        </w:tc>
        <w:tc>
          <w:tcPr>
            <w:tcW w:w="1168" w:type="pct"/>
            <w:noWrap w:val="0"/>
            <w:vAlign w:val="center"/>
          </w:tcPr>
          <w:p>
            <w:pPr>
              <w:spacing w:line="276" w:lineRule="auto"/>
              <w:jc w:val="center"/>
              <w:rPr>
                <w:rFonts w:hint="eastAsia" w:asciiTheme="minorEastAsia" w:hAnsiTheme="minorEastAsia" w:eastAsiaTheme="minorEastAsia" w:cstheme="minorEastAsia"/>
                <w:color w:val="auto"/>
                <w:sz w:val="24"/>
                <w:szCs w:val="24"/>
                <w:highlight w:val="none"/>
              </w:rPr>
            </w:pPr>
          </w:p>
        </w:tc>
        <w:tc>
          <w:tcPr>
            <w:tcW w:w="455" w:type="pct"/>
            <w:noWrap w:val="0"/>
            <w:vAlign w:val="bottom"/>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4"/>
                <w:szCs w:val="24"/>
                <w:highlight w:val="none"/>
              </w:rPr>
            </w:pPr>
            <w:r>
              <w:rPr>
                <w:rFonts w:hint="eastAsia" w:ascii="等线" w:hAnsi="等线" w:eastAsia="等线" w:cs="等线"/>
                <w:i w:val="0"/>
                <w:iCs w:val="0"/>
                <w:color w:val="000000"/>
                <w:kern w:val="0"/>
                <w:sz w:val="20"/>
                <w:szCs w:val="20"/>
                <w:u w:val="none"/>
                <w:lang w:val="en-US" w:eastAsia="zh-CN" w:bidi="ar"/>
              </w:rPr>
              <w:t>5%</w:t>
            </w:r>
          </w:p>
        </w:tc>
        <w:tc>
          <w:tcPr>
            <w:tcW w:w="1661" w:type="pct"/>
            <w:noWrap w:val="0"/>
            <w:vAlign w:val="center"/>
          </w:tcPr>
          <w:p>
            <w:pPr>
              <w:spacing w:line="276" w:lineRule="auto"/>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12" w:type="pct"/>
            <w:noWrap w:val="0"/>
            <w:vAlign w:val="center"/>
          </w:tcPr>
          <w:p>
            <w:pPr>
              <w:spacing w:line="276" w:lineRule="auto"/>
              <w:jc w:val="center"/>
              <w:rPr>
                <w:rFonts w:hint="eastAsia" w:ascii="Calibri" w:hAnsi="Calibri" w:eastAsia="宋体"/>
                <w:b w:val="0"/>
                <w:bCs/>
                <w:color w:val="auto"/>
                <w:sz w:val="21"/>
                <w:szCs w:val="21"/>
                <w:highlight w:val="none"/>
                <w:lang w:val="en-US" w:eastAsia="zh-CN"/>
              </w:rPr>
            </w:pPr>
            <w:r>
              <w:rPr>
                <w:rFonts w:hint="eastAsia" w:ascii="宋体" w:hAnsi="宋体" w:cs="宋体"/>
                <w:snapToGrid/>
                <w:color w:val="auto"/>
                <w:kern w:val="2"/>
                <w:sz w:val="24"/>
                <w:szCs w:val="24"/>
                <w:highlight w:val="none"/>
                <w:lang w:val="en-US" w:eastAsia="zh-CN"/>
              </w:rPr>
              <w:t>6</w:t>
            </w:r>
          </w:p>
        </w:tc>
        <w:tc>
          <w:tcPr>
            <w:tcW w:w="1302" w:type="pct"/>
            <w:noWrap w:val="0"/>
            <w:vAlign w:val="center"/>
          </w:tcPr>
          <w:p>
            <w:pPr>
              <w:spacing w:line="276" w:lineRule="auto"/>
              <w:jc w:val="left"/>
              <w:rPr>
                <w:rFonts w:hint="default" w:ascii="宋体" w:hAnsi="宋体" w:eastAsia="宋体" w:cs="宋体"/>
                <w:b w:val="0"/>
                <w:bCs/>
                <w:color w:val="auto"/>
                <w:sz w:val="24"/>
                <w:szCs w:val="24"/>
                <w:highlight w:val="none"/>
                <w:lang w:val="en-US"/>
              </w:rPr>
            </w:pPr>
            <w:r>
              <w:rPr>
                <w:rFonts w:hint="eastAsia" w:ascii="宋体" w:hAnsi="宋体" w:eastAsia="宋体" w:cs="宋体"/>
                <w:snapToGrid/>
                <w:color w:val="auto"/>
                <w:kern w:val="2"/>
                <w:sz w:val="24"/>
                <w:szCs w:val="24"/>
                <w:highlight w:val="none"/>
                <w:lang w:eastAsia="zh-CN"/>
              </w:rPr>
              <w:t>停车场管理系统</w:t>
            </w:r>
            <w:r>
              <w:rPr>
                <w:rFonts w:hint="eastAsia" w:ascii="宋体" w:hAnsi="宋体" w:cs="宋体"/>
                <w:snapToGrid/>
                <w:color w:val="auto"/>
                <w:kern w:val="2"/>
                <w:sz w:val="24"/>
                <w:szCs w:val="24"/>
                <w:highlight w:val="none"/>
                <w:lang w:val="en-US" w:eastAsia="zh-CN"/>
              </w:rPr>
              <w:t>类-A6</w:t>
            </w:r>
          </w:p>
        </w:tc>
        <w:tc>
          <w:tcPr>
            <w:tcW w:w="1168" w:type="pct"/>
            <w:noWrap w:val="0"/>
            <w:vAlign w:val="center"/>
          </w:tcPr>
          <w:p>
            <w:pPr>
              <w:spacing w:line="276" w:lineRule="auto"/>
              <w:jc w:val="center"/>
              <w:rPr>
                <w:rFonts w:hint="eastAsia" w:asciiTheme="minorEastAsia" w:hAnsiTheme="minorEastAsia" w:eastAsiaTheme="minorEastAsia" w:cstheme="minorEastAsia"/>
                <w:color w:val="auto"/>
                <w:sz w:val="24"/>
                <w:szCs w:val="24"/>
                <w:highlight w:val="none"/>
              </w:rPr>
            </w:pPr>
          </w:p>
        </w:tc>
        <w:tc>
          <w:tcPr>
            <w:tcW w:w="455" w:type="pct"/>
            <w:noWrap w:val="0"/>
            <w:vAlign w:val="bottom"/>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4"/>
                <w:szCs w:val="24"/>
                <w:highlight w:val="none"/>
              </w:rPr>
            </w:pPr>
            <w:r>
              <w:rPr>
                <w:rFonts w:hint="eastAsia" w:ascii="等线" w:hAnsi="等线" w:eastAsia="等线" w:cs="等线"/>
                <w:i w:val="0"/>
                <w:iCs w:val="0"/>
                <w:color w:val="000000"/>
                <w:kern w:val="0"/>
                <w:sz w:val="20"/>
                <w:szCs w:val="20"/>
                <w:u w:val="none"/>
                <w:lang w:val="en-US" w:eastAsia="zh-CN" w:bidi="ar"/>
              </w:rPr>
              <w:t>5%</w:t>
            </w:r>
          </w:p>
        </w:tc>
        <w:tc>
          <w:tcPr>
            <w:tcW w:w="1661" w:type="pct"/>
            <w:noWrap w:val="0"/>
            <w:vAlign w:val="center"/>
          </w:tcPr>
          <w:p>
            <w:pPr>
              <w:spacing w:line="276" w:lineRule="auto"/>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12" w:type="pct"/>
            <w:noWrap w:val="0"/>
            <w:vAlign w:val="center"/>
          </w:tcPr>
          <w:p>
            <w:pPr>
              <w:spacing w:line="276" w:lineRule="auto"/>
              <w:jc w:val="center"/>
              <w:rPr>
                <w:rFonts w:hint="default" w:ascii="宋体" w:hAnsi="宋体" w:cs="宋体"/>
                <w:snapToGrid/>
                <w:color w:val="auto"/>
                <w:kern w:val="2"/>
                <w:sz w:val="24"/>
                <w:szCs w:val="24"/>
                <w:highlight w:val="none"/>
                <w:lang w:val="en-US" w:eastAsia="zh-CN"/>
              </w:rPr>
            </w:pPr>
            <w:r>
              <w:rPr>
                <w:rFonts w:hint="eastAsia" w:ascii="宋体" w:hAnsi="宋体" w:cs="宋体"/>
                <w:snapToGrid/>
                <w:color w:val="auto"/>
                <w:kern w:val="2"/>
                <w:sz w:val="24"/>
                <w:szCs w:val="24"/>
                <w:highlight w:val="none"/>
                <w:lang w:val="en-US" w:eastAsia="zh-CN"/>
              </w:rPr>
              <w:t>7</w:t>
            </w:r>
          </w:p>
        </w:tc>
        <w:tc>
          <w:tcPr>
            <w:tcW w:w="1302" w:type="pct"/>
            <w:noWrap w:val="0"/>
            <w:vAlign w:val="center"/>
          </w:tcPr>
          <w:p>
            <w:pPr>
              <w:spacing w:line="276" w:lineRule="auto"/>
              <w:jc w:val="left"/>
              <w:rPr>
                <w:rFonts w:hint="default"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eastAsia="zh-CN"/>
              </w:rPr>
              <w:t>巡更系统</w:t>
            </w:r>
            <w:r>
              <w:rPr>
                <w:rFonts w:hint="eastAsia" w:ascii="宋体" w:hAnsi="宋体" w:cs="宋体"/>
                <w:snapToGrid/>
                <w:color w:val="auto"/>
                <w:kern w:val="2"/>
                <w:sz w:val="24"/>
                <w:szCs w:val="24"/>
                <w:highlight w:val="none"/>
                <w:lang w:val="en-US" w:eastAsia="zh-CN"/>
              </w:rPr>
              <w:t>类-A7</w:t>
            </w:r>
          </w:p>
        </w:tc>
        <w:tc>
          <w:tcPr>
            <w:tcW w:w="1168" w:type="pct"/>
            <w:noWrap w:val="0"/>
            <w:vAlign w:val="center"/>
          </w:tcPr>
          <w:p>
            <w:pPr>
              <w:spacing w:line="276" w:lineRule="auto"/>
              <w:jc w:val="center"/>
              <w:rPr>
                <w:rFonts w:hint="eastAsia" w:asciiTheme="minorEastAsia" w:hAnsiTheme="minorEastAsia" w:eastAsiaTheme="minorEastAsia" w:cstheme="minorEastAsia"/>
                <w:color w:val="auto"/>
                <w:sz w:val="24"/>
                <w:szCs w:val="24"/>
                <w:highlight w:val="none"/>
              </w:rPr>
            </w:pPr>
          </w:p>
        </w:tc>
        <w:tc>
          <w:tcPr>
            <w:tcW w:w="455" w:type="pct"/>
            <w:noWrap w:val="0"/>
            <w:vAlign w:val="bottom"/>
          </w:tcPr>
          <w:p>
            <w:pPr>
              <w:keepNext w:val="0"/>
              <w:keepLines w:val="0"/>
              <w:widowControl/>
              <w:suppressLineNumbers w:val="0"/>
              <w:jc w:val="center"/>
              <w:textAlignment w:val="bottom"/>
              <w:rPr>
                <w:rFonts w:hint="eastAsia" w:asciiTheme="minorEastAsia" w:hAnsiTheme="minorEastAsia" w:eastAsiaTheme="minorEastAsia" w:cstheme="minorEastAsia"/>
                <w:color w:val="auto"/>
                <w:sz w:val="24"/>
                <w:szCs w:val="24"/>
                <w:highlight w:val="none"/>
              </w:rPr>
            </w:pPr>
            <w:r>
              <w:rPr>
                <w:rFonts w:hint="eastAsia" w:ascii="等线" w:hAnsi="等线" w:eastAsia="等线" w:cs="等线"/>
                <w:i w:val="0"/>
                <w:iCs w:val="0"/>
                <w:color w:val="000000"/>
                <w:kern w:val="0"/>
                <w:sz w:val="20"/>
                <w:szCs w:val="20"/>
                <w:u w:val="none"/>
                <w:lang w:val="en-US" w:eastAsia="zh-CN" w:bidi="ar"/>
              </w:rPr>
              <w:t>5%</w:t>
            </w:r>
          </w:p>
        </w:tc>
        <w:tc>
          <w:tcPr>
            <w:tcW w:w="1661" w:type="pct"/>
            <w:noWrap w:val="0"/>
            <w:vAlign w:val="center"/>
          </w:tcPr>
          <w:p>
            <w:pPr>
              <w:spacing w:line="276" w:lineRule="auto"/>
              <w:jc w:val="center"/>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12" w:type="pct"/>
            <w:noWrap w:val="0"/>
            <w:vAlign w:val="center"/>
          </w:tcPr>
          <w:p>
            <w:pPr>
              <w:spacing w:line="276" w:lineRule="auto"/>
              <w:jc w:val="center"/>
              <w:rPr>
                <w:rFonts w:hint="eastAsia" w:ascii="宋体" w:hAnsi="宋体" w:cs="宋体"/>
                <w:b/>
                <w:color w:val="auto"/>
                <w:sz w:val="21"/>
                <w:szCs w:val="21"/>
                <w:highlight w:val="none"/>
              </w:rPr>
            </w:pPr>
          </w:p>
        </w:tc>
        <w:tc>
          <w:tcPr>
            <w:tcW w:w="2926" w:type="pct"/>
            <w:gridSpan w:val="3"/>
            <w:noWrap w:val="0"/>
            <w:vAlign w:val="center"/>
          </w:tcPr>
          <w:p>
            <w:pPr>
              <w:spacing w:line="276" w:lineRule="auto"/>
              <w:jc w:val="center"/>
              <w:rPr>
                <w:rFonts w:hint="eastAsia" w:asciiTheme="minorEastAsia" w:hAnsiTheme="minorEastAsia" w:eastAsiaTheme="minorEastAsia" w:cstheme="minorEastAsia"/>
                <w:color w:val="auto"/>
                <w:sz w:val="24"/>
                <w:szCs w:val="24"/>
                <w:highlight w:val="none"/>
              </w:rPr>
            </w:pPr>
            <w:r>
              <w:rPr>
                <w:rFonts w:hint="eastAsia" w:ascii="宋体" w:hAnsi="宋体" w:cs="宋体"/>
                <w:b/>
                <w:color w:val="auto"/>
                <w:sz w:val="24"/>
                <w:szCs w:val="24"/>
                <w:highlight w:val="none"/>
                <w:lang w:val="en-US" w:eastAsia="zh-CN"/>
              </w:rPr>
              <w:t>赋权重不含税单价合</w:t>
            </w:r>
            <w:r>
              <w:rPr>
                <w:rFonts w:hint="eastAsia" w:ascii="宋体" w:hAnsi="宋体" w:cs="宋体"/>
                <w:b/>
                <w:color w:val="auto"/>
                <w:sz w:val="24"/>
                <w:szCs w:val="24"/>
                <w:highlight w:val="none"/>
              </w:rPr>
              <w:t>计</w:t>
            </w:r>
          </w:p>
        </w:tc>
        <w:tc>
          <w:tcPr>
            <w:tcW w:w="1661" w:type="pct"/>
            <w:noWrap w:val="0"/>
            <w:vAlign w:val="center"/>
          </w:tcPr>
          <w:p>
            <w:pPr>
              <w:spacing w:line="276" w:lineRule="auto"/>
              <w:jc w:val="center"/>
              <w:rPr>
                <w:rFonts w:hint="eastAsia" w:asciiTheme="minorEastAsia" w:hAnsiTheme="minorEastAsia" w:eastAsiaTheme="minorEastAsia" w:cstheme="minorEastAsia"/>
                <w:color w:val="auto"/>
                <w:sz w:val="24"/>
                <w:szCs w:val="24"/>
                <w:highlight w:val="none"/>
              </w:rPr>
            </w:pPr>
          </w:p>
        </w:tc>
      </w:tr>
    </w:tbl>
    <w:p>
      <w:pPr>
        <w:spacing w:line="360" w:lineRule="auto"/>
        <w:ind w:firstLine="480" w:firstLineChars="200"/>
        <w:jc w:val="left"/>
        <w:rPr>
          <w:rFonts w:hint="eastAsia"/>
          <w:color w:val="auto"/>
          <w:sz w:val="24"/>
          <w:highlight w:val="none"/>
          <w:lang w:val="en-US" w:eastAsia="zh-CN"/>
        </w:rPr>
      </w:pPr>
      <w:r>
        <w:rPr>
          <w:rFonts w:hint="eastAsia" w:ascii="宋体" w:hAnsi="宋体"/>
          <w:color w:val="auto"/>
          <w:sz w:val="24"/>
          <w:szCs w:val="24"/>
          <w:highlight w:val="none"/>
          <w:lang w:val="en-US" w:eastAsia="zh-CN"/>
        </w:rPr>
        <w:t>每个类别的详细报价见《</w:t>
      </w:r>
      <w:r>
        <w:rPr>
          <w:rFonts w:hint="eastAsia"/>
          <w:color w:val="auto"/>
          <w:sz w:val="24"/>
          <w:highlight w:val="none"/>
          <w:lang w:val="en-US" w:eastAsia="zh-CN"/>
        </w:rPr>
        <w:t>附件四 2025至2026年度弱电系统维保项目明细及报价清单》。</w:t>
      </w:r>
    </w:p>
    <w:p>
      <w:pPr>
        <w:spacing w:line="360" w:lineRule="auto"/>
        <w:ind w:firstLine="480" w:firstLineChars="200"/>
        <w:jc w:val="left"/>
        <w:rPr>
          <w:rFonts w:hint="eastAsia"/>
          <w:color w:val="auto"/>
          <w:sz w:val="24"/>
          <w:highlight w:val="none"/>
          <w:lang w:val="en-US" w:eastAsia="zh-CN"/>
        </w:rPr>
      </w:pPr>
      <w:r>
        <w:rPr>
          <w:rFonts w:hint="eastAsia"/>
          <w:color w:val="auto"/>
          <w:sz w:val="24"/>
          <w:highlight w:val="none"/>
          <w:lang w:val="en-US" w:eastAsia="zh-CN"/>
        </w:rPr>
        <w:t>提供增值税专用发票（设备材料类税率13%，人工服务类税率6%）。</w:t>
      </w:r>
    </w:p>
    <w:p>
      <w:pPr>
        <w:spacing w:line="360" w:lineRule="auto"/>
        <w:ind w:firstLine="424" w:firstLineChars="177"/>
        <w:rPr>
          <w:color w:val="auto"/>
          <w:sz w:val="24"/>
          <w:szCs w:val="24"/>
          <w:highlight w:val="none"/>
        </w:rPr>
      </w:pPr>
      <w:r>
        <w:rPr>
          <w:rFonts w:hint="eastAsia"/>
          <w:color w:val="auto"/>
          <w:sz w:val="24"/>
          <w:szCs w:val="24"/>
          <w:highlight w:val="none"/>
        </w:rPr>
        <w:t>1．我方承诺在投标有效期内不修改、撤销投标文件。</w:t>
      </w:r>
    </w:p>
    <w:p>
      <w:pPr>
        <w:spacing w:line="360" w:lineRule="auto"/>
        <w:ind w:firstLine="424" w:firstLineChars="177"/>
        <w:rPr>
          <w:color w:val="auto"/>
          <w:sz w:val="24"/>
          <w:szCs w:val="24"/>
          <w:highlight w:val="none"/>
        </w:rPr>
      </w:pPr>
      <w:r>
        <w:rPr>
          <w:rFonts w:hint="eastAsia"/>
          <w:color w:val="auto"/>
          <w:sz w:val="24"/>
          <w:szCs w:val="24"/>
          <w:highlight w:val="none"/>
        </w:rPr>
        <w:t>2．如我方中标：</w:t>
      </w:r>
    </w:p>
    <w:p>
      <w:pPr>
        <w:spacing w:line="360" w:lineRule="auto"/>
        <w:ind w:firstLine="424" w:firstLineChars="177"/>
        <w:rPr>
          <w:color w:val="auto"/>
          <w:sz w:val="24"/>
          <w:szCs w:val="24"/>
          <w:highlight w:val="none"/>
        </w:rPr>
      </w:pPr>
      <w:r>
        <w:rPr>
          <w:rFonts w:hint="eastAsia"/>
          <w:color w:val="auto"/>
          <w:sz w:val="24"/>
          <w:szCs w:val="24"/>
          <w:highlight w:val="none"/>
        </w:rPr>
        <w:t>（1）我方承诺在规定的期限内与你方签订合同。</w:t>
      </w:r>
    </w:p>
    <w:p>
      <w:pPr>
        <w:spacing w:line="360" w:lineRule="auto"/>
        <w:ind w:firstLine="424" w:firstLineChars="177"/>
        <w:rPr>
          <w:color w:val="auto"/>
          <w:sz w:val="24"/>
          <w:szCs w:val="24"/>
          <w:highlight w:val="none"/>
        </w:rPr>
      </w:pPr>
      <w:r>
        <w:rPr>
          <w:rFonts w:hint="eastAsia"/>
          <w:color w:val="auto"/>
          <w:sz w:val="24"/>
          <w:szCs w:val="24"/>
          <w:highlight w:val="none"/>
        </w:rPr>
        <w:t>（2）我方承诺在合同约定的期限内保质保量的完成相应工作。</w:t>
      </w:r>
    </w:p>
    <w:p>
      <w:pPr>
        <w:spacing w:line="360" w:lineRule="auto"/>
        <w:ind w:firstLine="424" w:firstLineChars="177"/>
        <w:rPr>
          <w:color w:val="auto"/>
          <w:sz w:val="24"/>
          <w:szCs w:val="24"/>
          <w:highlight w:val="none"/>
        </w:rPr>
      </w:pPr>
      <w:r>
        <w:rPr>
          <w:rFonts w:hint="eastAsia"/>
          <w:color w:val="auto"/>
          <w:sz w:val="24"/>
          <w:szCs w:val="24"/>
          <w:highlight w:val="none"/>
        </w:rPr>
        <w:t>3．我方在此声明，所递交的投标文件及有关资料内容完整、真实和准确。</w:t>
      </w:r>
    </w:p>
    <w:p>
      <w:pPr>
        <w:spacing w:line="360" w:lineRule="auto"/>
        <w:ind w:firstLine="424" w:firstLineChars="177"/>
        <w:rPr>
          <w:color w:val="auto"/>
          <w:sz w:val="24"/>
          <w:szCs w:val="24"/>
          <w:highlight w:val="none"/>
        </w:rPr>
      </w:pPr>
      <w:r>
        <w:rPr>
          <w:rFonts w:hint="eastAsia"/>
          <w:color w:val="auto"/>
          <w:sz w:val="24"/>
          <w:szCs w:val="24"/>
          <w:highlight w:val="none"/>
        </w:rPr>
        <w:t>4．</w:t>
      </w:r>
      <w:r>
        <w:rPr>
          <w:rFonts w:hint="eastAsia"/>
          <w:color w:val="auto"/>
          <w:sz w:val="24"/>
          <w:szCs w:val="24"/>
          <w:highlight w:val="none"/>
          <w:u w:val="single"/>
        </w:rPr>
        <w:t xml:space="preserve">                                            </w:t>
      </w:r>
      <w:r>
        <w:rPr>
          <w:rFonts w:hint="eastAsia"/>
          <w:color w:val="auto"/>
          <w:sz w:val="24"/>
          <w:szCs w:val="24"/>
          <w:highlight w:val="none"/>
        </w:rPr>
        <w:t>（其他补充说明）。</w:t>
      </w:r>
    </w:p>
    <w:p>
      <w:pPr>
        <w:spacing w:line="360" w:lineRule="auto"/>
        <w:rPr>
          <w:color w:val="auto"/>
          <w:sz w:val="24"/>
          <w:szCs w:val="24"/>
          <w:highlight w:val="none"/>
        </w:rPr>
      </w:pPr>
    </w:p>
    <w:p>
      <w:pPr>
        <w:tabs>
          <w:tab w:val="left" w:pos="7140"/>
          <w:tab w:val="left" w:pos="7560"/>
          <w:tab w:val="left" w:pos="8300"/>
        </w:tabs>
        <w:autoSpaceDE w:val="0"/>
        <w:autoSpaceDN w:val="0"/>
        <w:adjustRightInd w:val="0"/>
        <w:spacing w:line="360" w:lineRule="auto"/>
        <w:ind w:right="210" w:firstLine="2126" w:firstLineChars="886"/>
        <w:rPr>
          <w:rFonts w:ascii="宋体" w:hAnsi="宋体"/>
          <w:snapToGrid w:val="0"/>
          <w:color w:val="auto"/>
          <w:kern w:val="0"/>
          <w:sz w:val="24"/>
          <w:szCs w:val="24"/>
          <w:highlight w:val="none"/>
        </w:rPr>
      </w:pPr>
      <w:r>
        <w:rPr>
          <w:rFonts w:hint="eastAsia" w:ascii="宋体" w:hAnsi="宋体" w:cs="MingLiU"/>
          <w:snapToGrid w:val="0"/>
          <w:color w:val="auto"/>
          <w:kern w:val="0"/>
          <w:sz w:val="24"/>
          <w:szCs w:val="24"/>
          <w:highlight w:val="none"/>
        </w:rPr>
        <w:t>投</w:t>
      </w:r>
      <w:r>
        <w:rPr>
          <w:rFonts w:hint="eastAsia" w:ascii="宋体" w:hAnsi="宋体"/>
          <w:snapToGrid w:val="0"/>
          <w:color w:val="auto"/>
          <w:kern w:val="0"/>
          <w:sz w:val="24"/>
          <w:szCs w:val="24"/>
          <w:highlight w:val="none"/>
        </w:rPr>
        <w:t xml:space="preserve">  </w:t>
      </w:r>
      <w:r>
        <w:rPr>
          <w:rFonts w:hint="eastAsia" w:ascii="宋体" w:hAnsi="宋体" w:cs="MingLiU"/>
          <w:snapToGrid w:val="0"/>
          <w:color w:val="auto"/>
          <w:kern w:val="0"/>
          <w:sz w:val="24"/>
          <w:szCs w:val="24"/>
          <w:highlight w:val="none"/>
        </w:rPr>
        <w:t>标</w:t>
      </w:r>
      <w:r>
        <w:rPr>
          <w:rFonts w:hint="eastAsia" w:ascii="宋体" w:hAnsi="宋体"/>
          <w:snapToGrid w:val="0"/>
          <w:color w:val="auto"/>
          <w:kern w:val="0"/>
          <w:sz w:val="24"/>
          <w:szCs w:val="24"/>
          <w:highlight w:val="none"/>
        </w:rPr>
        <w:t xml:space="preserve">  </w:t>
      </w:r>
      <w:r>
        <w:rPr>
          <w:rFonts w:hint="eastAsia" w:ascii="宋体" w:hAnsi="宋体" w:cs="MingLiU"/>
          <w:snapToGrid w:val="0"/>
          <w:color w:val="auto"/>
          <w:kern w:val="0"/>
          <w:sz w:val="24"/>
          <w:szCs w:val="24"/>
          <w:highlight w:val="none"/>
        </w:rPr>
        <w:t>人：</w:t>
      </w:r>
      <w:r>
        <w:rPr>
          <w:rFonts w:hint="eastAsia" w:ascii="宋体" w:hAnsi="宋体" w:cs="MingLiU"/>
          <w:snapToGrid w:val="0"/>
          <w:color w:val="auto"/>
          <w:kern w:val="0"/>
          <w:sz w:val="24"/>
          <w:szCs w:val="24"/>
          <w:highlight w:val="none"/>
          <w:u w:val="single"/>
        </w:rPr>
        <w:t xml:space="preserve">                　　　　　         </w:t>
      </w:r>
      <w:r>
        <w:rPr>
          <w:rFonts w:hint="eastAsia" w:ascii="宋体" w:hAnsi="宋体" w:cs="MingLiU"/>
          <w:snapToGrid w:val="0"/>
          <w:color w:val="auto"/>
          <w:kern w:val="0"/>
          <w:sz w:val="24"/>
          <w:szCs w:val="24"/>
          <w:highlight w:val="none"/>
        </w:rPr>
        <w:t>（盖单位章）</w:t>
      </w:r>
      <w:r>
        <w:rPr>
          <w:rFonts w:hint="eastAsia" w:ascii="宋体" w:hAnsi="宋体"/>
          <w:snapToGrid w:val="0"/>
          <w:color w:val="auto"/>
          <w:kern w:val="0"/>
          <w:sz w:val="24"/>
          <w:szCs w:val="24"/>
          <w:highlight w:val="none"/>
        </w:rPr>
        <w:t xml:space="preserve"> </w:t>
      </w:r>
    </w:p>
    <w:p>
      <w:pPr>
        <w:tabs>
          <w:tab w:val="left" w:pos="7740"/>
          <w:tab w:val="left" w:pos="7800"/>
          <w:tab w:val="left" w:pos="8300"/>
        </w:tabs>
        <w:autoSpaceDE w:val="0"/>
        <w:autoSpaceDN w:val="0"/>
        <w:adjustRightInd w:val="0"/>
        <w:spacing w:line="360" w:lineRule="auto"/>
        <w:ind w:right="210" w:firstLine="2126" w:firstLineChars="886"/>
        <w:rPr>
          <w:rFonts w:ascii="宋体" w:hAnsi="宋体"/>
          <w:snapToGrid w:val="0"/>
          <w:color w:val="auto"/>
          <w:kern w:val="0"/>
          <w:sz w:val="24"/>
          <w:szCs w:val="24"/>
          <w:highlight w:val="none"/>
        </w:rPr>
      </w:pPr>
      <w:r>
        <w:rPr>
          <w:rFonts w:hint="eastAsia" w:ascii="宋体" w:hAnsi="宋体" w:cs="MingLiU"/>
          <w:snapToGrid w:val="0"/>
          <w:color w:val="auto"/>
          <w:kern w:val="0"/>
          <w:sz w:val="24"/>
          <w:szCs w:val="24"/>
          <w:highlight w:val="none"/>
        </w:rPr>
        <w:t>法定代表或授权代表：</w:t>
      </w:r>
      <w:r>
        <w:rPr>
          <w:rFonts w:hint="eastAsia" w:ascii="宋体" w:hAnsi="宋体" w:cs="MingLiU"/>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u w:val="single"/>
        </w:rPr>
        <w:tab/>
      </w:r>
      <w:r>
        <w:rPr>
          <w:rFonts w:hint="eastAsia" w:ascii="宋体" w:hAnsi="宋体" w:cs="MingLiU"/>
          <w:snapToGrid w:val="0"/>
          <w:color w:val="auto"/>
          <w:kern w:val="0"/>
          <w:sz w:val="24"/>
          <w:szCs w:val="24"/>
          <w:highlight w:val="none"/>
        </w:rPr>
        <w:t>（签字）</w:t>
      </w:r>
      <w:r>
        <w:rPr>
          <w:rFonts w:hint="eastAsia" w:ascii="宋体" w:hAnsi="宋体"/>
          <w:snapToGrid w:val="0"/>
          <w:color w:val="auto"/>
          <w:kern w:val="0"/>
          <w:sz w:val="24"/>
          <w:szCs w:val="24"/>
          <w:highlight w:val="none"/>
        </w:rPr>
        <w:t xml:space="preserve"> </w:t>
      </w:r>
    </w:p>
    <w:p>
      <w:pPr>
        <w:tabs>
          <w:tab w:val="left" w:pos="7755"/>
          <w:tab w:val="left" w:pos="8760"/>
        </w:tabs>
        <w:autoSpaceDE w:val="0"/>
        <w:autoSpaceDN w:val="0"/>
        <w:adjustRightInd w:val="0"/>
        <w:spacing w:line="360" w:lineRule="auto"/>
        <w:ind w:right="210" w:firstLine="2126" w:firstLineChars="886"/>
        <w:rPr>
          <w:rFonts w:ascii="宋体" w:hAnsi="宋体" w:cs="MingLiU"/>
          <w:snapToGrid w:val="0"/>
          <w:color w:val="auto"/>
          <w:kern w:val="0"/>
          <w:sz w:val="24"/>
          <w:szCs w:val="24"/>
          <w:highlight w:val="none"/>
        </w:rPr>
      </w:pPr>
      <w:r>
        <w:rPr>
          <w:rFonts w:hint="eastAsia" w:ascii="宋体" w:hAnsi="宋体" w:cs="MingLiU"/>
          <w:snapToGrid w:val="0"/>
          <w:color w:val="auto"/>
          <w:kern w:val="0"/>
          <w:sz w:val="24"/>
          <w:szCs w:val="24"/>
          <w:highlight w:val="none"/>
        </w:rPr>
        <w:t>地址：</w:t>
      </w:r>
      <w:r>
        <w:rPr>
          <w:rFonts w:hint="eastAsia" w:ascii="宋体" w:hAnsi="宋体" w:cs="MingLiU"/>
          <w:snapToGrid w:val="0"/>
          <w:color w:val="auto"/>
          <w:w w:val="200"/>
          <w:kern w:val="0"/>
          <w:sz w:val="24"/>
          <w:szCs w:val="24"/>
          <w:highlight w:val="none"/>
          <w:u w:val="single"/>
        </w:rPr>
        <w:t xml:space="preserve"> </w:t>
      </w:r>
      <w:r>
        <w:rPr>
          <w:rFonts w:hint="eastAsia" w:ascii="宋体" w:hAnsi="宋体"/>
          <w:snapToGrid w:val="0"/>
          <w:color w:val="auto"/>
          <w:kern w:val="0"/>
          <w:sz w:val="24"/>
          <w:szCs w:val="24"/>
          <w:highlight w:val="none"/>
          <w:u w:val="single"/>
        </w:rPr>
        <w:tab/>
      </w:r>
    </w:p>
    <w:p>
      <w:pPr>
        <w:tabs>
          <w:tab w:val="left" w:pos="6000"/>
          <w:tab w:val="left" w:pos="7040"/>
          <w:tab w:val="left" w:pos="8100"/>
        </w:tabs>
        <w:autoSpaceDE w:val="0"/>
        <w:autoSpaceDN w:val="0"/>
        <w:adjustRightInd w:val="0"/>
        <w:spacing w:line="360" w:lineRule="auto"/>
        <w:ind w:right="-20" w:firstLine="5508" w:firstLineChars="2295"/>
        <w:jc w:val="left"/>
        <w:rPr>
          <w:color w:val="auto"/>
          <w:highlight w:val="none"/>
        </w:rPr>
      </w:pPr>
      <w:r>
        <w:rPr>
          <w:rFonts w:hint="eastAsia" w:ascii="宋体" w:hAnsi="宋体" w:cs="MingLiU"/>
          <w:snapToGrid w:val="0"/>
          <w:color w:val="auto"/>
          <w:kern w:val="0"/>
          <w:sz w:val="24"/>
          <w:szCs w:val="24"/>
          <w:highlight w:val="none"/>
          <w:u w:val="single"/>
        </w:rPr>
        <w:t xml:space="preserve"> </w:t>
      </w:r>
      <w:r>
        <w:rPr>
          <w:rFonts w:hint="eastAsia" w:ascii="宋体" w:hAnsi="宋体" w:cs="MingLiU"/>
          <w:snapToGrid w:val="0"/>
          <w:color w:val="auto"/>
          <w:kern w:val="0"/>
          <w:sz w:val="24"/>
          <w:szCs w:val="24"/>
          <w:highlight w:val="none"/>
          <w:u w:val="single"/>
          <w:lang w:val="en-US" w:eastAsia="zh-CN"/>
        </w:rPr>
        <w:t xml:space="preserve">2025 </w:t>
      </w:r>
      <w:r>
        <w:rPr>
          <w:rFonts w:hint="eastAsia" w:ascii="宋体" w:hAnsi="宋体" w:cs="MingLiU"/>
          <w:snapToGrid w:val="0"/>
          <w:color w:val="auto"/>
          <w:kern w:val="0"/>
          <w:sz w:val="24"/>
          <w:szCs w:val="24"/>
          <w:highlight w:val="none"/>
          <w:u w:val="single"/>
        </w:rPr>
        <w:t xml:space="preserve">  </w:t>
      </w:r>
      <w:r>
        <w:rPr>
          <w:rFonts w:hint="eastAsia" w:ascii="宋体" w:hAnsi="宋体" w:cs="MingLiU"/>
          <w:snapToGrid w:val="0"/>
          <w:color w:val="auto"/>
          <w:kern w:val="0"/>
          <w:sz w:val="24"/>
          <w:szCs w:val="24"/>
          <w:highlight w:val="none"/>
        </w:rPr>
        <w:t>年</w:t>
      </w:r>
      <w:r>
        <w:rPr>
          <w:rFonts w:hint="eastAsia" w:ascii="宋体" w:hAnsi="宋体" w:cs="MingLiU"/>
          <w:snapToGrid w:val="0"/>
          <w:color w:val="auto"/>
          <w:w w:val="200"/>
          <w:kern w:val="0"/>
          <w:sz w:val="24"/>
          <w:szCs w:val="24"/>
          <w:highlight w:val="none"/>
          <w:u w:val="single"/>
        </w:rPr>
        <w:t xml:space="preserve">  </w:t>
      </w:r>
      <w:r>
        <w:rPr>
          <w:rFonts w:hint="eastAsia" w:ascii="宋体" w:hAnsi="宋体" w:cs="MingLiU"/>
          <w:snapToGrid w:val="0"/>
          <w:color w:val="auto"/>
          <w:kern w:val="0"/>
          <w:sz w:val="24"/>
          <w:szCs w:val="24"/>
          <w:highlight w:val="none"/>
        </w:rPr>
        <w:t>月</w:t>
      </w:r>
      <w:r>
        <w:rPr>
          <w:rFonts w:hint="eastAsia" w:ascii="宋体" w:hAnsi="宋体" w:cs="MingLiU"/>
          <w:snapToGrid w:val="0"/>
          <w:color w:val="auto"/>
          <w:w w:val="200"/>
          <w:kern w:val="0"/>
          <w:sz w:val="24"/>
          <w:szCs w:val="24"/>
          <w:highlight w:val="none"/>
          <w:u w:val="single"/>
        </w:rPr>
        <w:t xml:space="preserve">  </w:t>
      </w:r>
      <w:r>
        <w:rPr>
          <w:rFonts w:hint="eastAsia" w:ascii="宋体" w:hAnsi="宋体" w:cs="MingLiU"/>
          <w:snapToGrid w:val="0"/>
          <w:color w:val="auto"/>
          <w:kern w:val="0"/>
          <w:sz w:val="24"/>
          <w:szCs w:val="24"/>
          <w:highlight w:val="none"/>
        </w:rPr>
        <w:t>日</w:t>
      </w:r>
    </w:p>
    <w:p>
      <w:pPr>
        <w:rPr>
          <w:color w:val="auto"/>
          <w:highlight w:val="none"/>
        </w:rPr>
      </w:pPr>
    </w:p>
    <w:p>
      <w:pPr>
        <w:rPr>
          <w:rFonts w:hint="eastAsia" w:eastAsia="宋体"/>
          <w:color w:val="auto"/>
          <w:highlight w:val="none"/>
          <w:lang w:val="en-US" w:eastAsia="zh-CN"/>
        </w:rPr>
      </w:pPr>
    </w:p>
    <w:p>
      <w:pPr>
        <w:rPr>
          <w:rFonts w:hint="eastAsia" w:eastAsia="宋体"/>
          <w:color w:val="auto"/>
          <w:highlight w:val="none"/>
          <w:lang w:val="en-US" w:eastAsia="zh-CN"/>
        </w:rPr>
      </w:pPr>
    </w:p>
    <w:p>
      <w:pPr>
        <w:rPr>
          <w:rFonts w:hint="eastAsia" w:ascii="宋体" w:hAnsi="宋体"/>
          <w:b/>
          <w:bCs/>
          <w:color w:val="auto"/>
          <w:sz w:val="24"/>
          <w:szCs w:val="24"/>
          <w:highlight w:val="none"/>
          <w:lang w:val="en-US" w:eastAsia="zh-CN"/>
        </w:rPr>
      </w:pPr>
      <w:r>
        <w:rPr>
          <w:rFonts w:hint="eastAsia"/>
          <w:color w:val="auto"/>
          <w:sz w:val="24"/>
          <w:highlight w:val="none"/>
          <w:lang w:val="en-US" w:eastAsia="zh-CN"/>
        </w:rPr>
        <w:t>附件四 《2025至2026年度弱电系统维保项目明细及报价清单</w:t>
      </w:r>
      <w:r>
        <w:rPr>
          <w:rFonts w:hint="eastAsia" w:ascii="宋体" w:hAnsi="宋体"/>
          <w:b/>
          <w:bCs/>
          <w:color w:val="auto"/>
          <w:sz w:val="24"/>
          <w:szCs w:val="24"/>
          <w:highlight w:val="none"/>
          <w:lang w:val="en-US" w:eastAsia="zh-CN"/>
        </w:rPr>
        <w:t>》</w:t>
      </w:r>
    </w:p>
    <w:p>
      <w:pPr>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投标人另需提供 EXCEL版</w:t>
      </w:r>
      <w:r>
        <w:rPr>
          <w:rFonts w:hint="eastAsia"/>
          <w:color w:val="auto"/>
          <w:sz w:val="24"/>
          <w:highlight w:val="none"/>
          <w:lang w:val="en-US" w:eastAsia="zh-CN"/>
        </w:rPr>
        <w:t>《2025至2026年度弱电系统维保项目明细及报价清单</w:t>
      </w:r>
      <w:r>
        <w:rPr>
          <w:rFonts w:hint="eastAsia" w:ascii="宋体" w:hAnsi="宋体"/>
          <w:b/>
          <w:bCs/>
          <w:color w:val="auto"/>
          <w:sz w:val="24"/>
          <w:szCs w:val="24"/>
          <w:highlight w:val="none"/>
          <w:lang w:val="en-US" w:eastAsia="zh-CN"/>
        </w:rPr>
        <w:t>》</w:t>
      </w:r>
    </w:p>
    <w:p>
      <w:pPr>
        <w:rPr>
          <w:rFonts w:hint="eastAsia" w:ascii="宋体" w:hAnsi="宋体"/>
          <w:b/>
          <w:bCs/>
          <w:color w:val="auto"/>
          <w:sz w:val="24"/>
          <w:szCs w:val="24"/>
          <w:highlight w:val="none"/>
          <w:lang w:val="en-US" w:eastAsia="zh-CN"/>
        </w:rPr>
      </w:pPr>
    </w:p>
    <w:tbl>
      <w:tblPr>
        <w:tblStyle w:val="15"/>
        <w:tblW w:w="5840" w:type="pct"/>
        <w:tblInd w:w="-7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4"/>
        <w:gridCol w:w="1268"/>
        <w:gridCol w:w="1094"/>
        <w:gridCol w:w="1219"/>
        <w:gridCol w:w="3131"/>
        <w:gridCol w:w="594"/>
        <w:gridCol w:w="594"/>
        <w:gridCol w:w="599"/>
        <w:gridCol w:w="1152"/>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24"/>
                <w:szCs w:val="24"/>
                <w:u w:val="none"/>
                <w:lang w:val="en-US" w:eastAsia="zh-CN" w:bidi="ar"/>
              </w:rPr>
              <w:t>重庆汽车2025至2026年度弱电系统维保项目维护项清单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_GB2312" w:hAnsi="仿宋_GB2312" w:eastAsia="仿宋_GB2312" w:cs="仿宋_GB2312"/>
                <w:i w:val="0"/>
                <w:iCs w:val="0"/>
                <w:color w:val="000000"/>
                <w:sz w:val="18"/>
                <w:szCs w:val="18"/>
                <w:u w:val="none"/>
                <w:lang w:val="en-US"/>
              </w:rPr>
            </w:pPr>
            <w:r>
              <w:rPr>
                <w:rFonts w:hint="eastAsia" w:ascii="仿宋_GB2312" w:hAnsi="仿宋_GB2312" w:eastAsia="仿宋_GB2312" w:cs="仿宋_GB2312"/>
                <w:i w:val="0"/>
                <w:iCs w:val="0"/>
                <w:color w:val="000000"/>
                <w:kern w:val="0"/>
                <w:sz w:val="18"/>
                <w:szCs w:val="18"/>
                <w:u w:val="none"/>
                <w:lang w:val="en-US" w:eastAsia="zh-CN" w:bidi="ar"/>
              </w:rPr>
              <w:t>说明：</w:t>
            </w:r>
            <w:r>
              <w:rPr>
                <w:rFonts w:hint="eastAsia" w:ascii="仿宋_GB2312" w:hAnsi="仿宋_GB2312" w:cs="仿宋_GB2312"/>
                <w:i w:val="0"/>
                <w:iCs w:val="0"/>
                <w:color w:val="000000"/>
                <w:kern w:val="0"/>
                <w:sz w:val="18"/>
                <w:szCs w:val="18"/>
                <w:u w:val="none"/>
                <w:lang w:val="en-US" w:eastAsia="zh-CN" w:bidi="ar"/>
              </w:rPr>
              <w:t>1、</w:t>
            </w:r>
            <w:r>
              <w:rPr>
                <w:rFonts w:hint="eastAsia" w:ascii="仿宋_GB2312" w:hAnsi="仿宋_GB2312" w:eastAsia="仿宋_GB2312" w:cs="仿宋_GB2312"/>
                <w:i w:val="0"/>
                <w:iCs w:val="0"/>
                <w:color w:val="000000"/>
                <w:kern w:val="0"/>
                <w:sz w:val="18"/>
                <w:szCs w:val="18"/>
                <w:u w:val="none"/>
                <w:lang w:val="en-US" w:eastAsia="zh-CN" w:bidi="ar"/>
              </w:rPr>
              <w:t>含增值税专用发票，设备材料类税率13%，人工服务类税率6%。</w:t>
            </w:r>
            <w:r>
              <w:rPr>
                <w:rFonts w:hint="eastAsia" w:ascii="仿宋_GB2312" w:hAnsi="仿宋_GB2312" w:cs="仿宋_GB2312"/>
                <w:i w:val="0"/>
                <w:iCs w:val="0"/>
                <w:color w:val="000000"/>
                <w:kern w:val="0"/>
                <w:sz w:val="18"/>
                <w:szCs w:val="18"/>
                <w:u w:val="none"/>
                <w:lang w:val="en-US" w:eastAsia="zh-CN" w:bidi="ar"/>
              </w:rPr>
              <w:t>2、有品牌限定的按限定品牌投标。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仿宋_GB2312" w:hAnsi="仿宋_GB2312" w:eastAsia="仿宋_GB2312" w:cs="仿宋_GB2312"/>
                <w:i w:val="0"/>
                <w:iCs w:val="0"/>
                <w:color w:val="000000"/>
                <w:sz w:val="18"/>
                <w:szCs w:val="18"/>
                <w:u w:val="none"/>
                <w:lang w:val="en-US"/>
              </w:rPr>
            </w:pPr>
            <w:r>
              <w:rPr>
                <w:rFonts w:hint="eastAsia" w:ascii="仿宋_GB2312" w:hAnsi="仿宋_GB2312" w:eastAsia="仿宋_GB2312" w:cs="仿宋_GB2312"/>
                <w:b/>
                <w:bCs/>
                <w:i w:val="0"/>
                <w:iCs w:val="0"/>
                <w:color w:val="000000"/>
                <w:kern w:val="0"/>
                <w:sz w:val="18"/>
                <w:szCs w:val="18"/>
                <w:u w:val="none"/>
                <w:lang w:val="en-US" w:eastAsia="zh-CN" w:bidi="ar"/>
              </w:rPr>
              <w:t>一、综合布线-A1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序号</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项目</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cs="仿宋_GB2312"/>
                <w:b/>
                <w:bCs/>
                <w:i w:val="0"/>
                <w:iCs w:val="0"/>
                <w:color w:val="000000"/>
                <w:kern w:val="0"/>
                <w:sz w:val="18"/>
                <w:szCs w:val="18"/>
                <w:u w:val="none"/>
                <w:lang w:val="en-US" w:eastAsia="zh-CN" w:bidi="ar"/>
              </w:rPr>
              <w:t>规格</w:t>
            </w:r>
            <w:r>
              <w:rPr>
                <w:rFonts w:hint="eastAsia" w:ascii="仿宋_GB2312" w:hAnsi="仿宋_GB2312" w:eastAsia="仿宋_GB2312" w:cs="仿宋_GB2312"/>
                <w:b/>
                <w:bCs/>
                <w:i w:val="0"/>
                <w:iCs w:val="0"/>
                <w:color w:val="000000"/>
                <w:kern w:val="0"/>
                <w:sz w:val="18"/>
                <w:szCs w:val="18"/>
                <w:u w:val="none"/>
                <w:lang w:val="en-US" w:eastAsia="zh-CN" w:bidi="ar"/>
              </w:rPr>
              <w:t>型号</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仿宋_GB2312" w:hAnsi="仿宋_GB2312" w:eastAsia="仿宋_GB2312" w:cs="仿宋_GB2312"/>
                <w:b/>
                <w:bCs/>
                <w:i w:val="0"/>
                <w:iCs w:val="0"/>
                <w:color w:val="000000"/>
                <w:sz w:val="18"/>
                <w:szCs w:val="18"/>
                <w:u w:val="none"/>
                <w:lang w:val="en-US"/>
              </w:rPr>
            </w:pPr>
            <w:r>
              <w:rPr>
                <w:rFonts w:hint="eastAsia" w:ascii="仿宋_GB2312" w:hAnsi="仿宋_GB2312" w:cs="仿宋_GB2312"/>
                <w:b/>
                <w:bCs/>
                <w:i w:val="0"/>
                <w:iCs w:val="0"/>
                <w:color w:val="000000"/>
                <w:kern w:val="0"/>
                <w:sz w:val="18"/>
                <w:szCs w:val="18"/>
                <w:u w:val="none"/>
                <w:lang w:val="en-US" w:eastAsia="zh-CN" w:bidi="ar"/>
              </w:rPr>
              <w:t>参数/要求</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单位</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数量</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税率</w:t>
            </w:r>
          </w:p>
        </w:tc>
        <w:tc>
          <w:tcPr>
            <w:tcW w:w="500"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不含税单价（元）</w:t>
            </w:r>
          </w:p>
        </w:tc>
        <w:tc>
          <w:tcPr>
            <w:tcW w:w="501"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含税单价（元）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配线架</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六类24口</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理线架</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理线架</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大对数电话缆</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10对</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米</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大对数电话缆</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25对</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米</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电话线</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2芯电话线</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米</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超五类工程网线</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305米超五类非屏蔽网线（0.50±0.01mm）以上</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箱</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六类工程网线</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305米六类非屏蔽纯铜6类千兆双绞线。UTP CAT6 工程级双绞线;支持速率≥1Cbps,支持 PDP供电，线规符合 AWG23,单股导体线径三0.55m，绝缘层为高究度聚乙烯(HDPP)，外护为聚氯乙烯(PyC)，骨芯结构为十字龙骨芯，运行温度范围优于-20至 60℃，安装温度范围优于(含)0至 50C。</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箱</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六类低烟无卤网线</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305米六类非屏蔽低烟无卤6类千兆阻燃双绞线</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箱</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六类屏蔽网线</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305米六类屏蔽低烟无卤6类千兆阻燃双绞线</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箱</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1.10 </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网络模块</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超五类网络免打模块</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1.11</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网络模块</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六类网络免打模块</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1.12 </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网络模块</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六类屏蔽网络免打模块</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1.13</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网络模块面板</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通用超五/六/七类86型网络模块单口面板</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1.14 </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网络模块面板</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通用超五/六/七类86型网络模块双口面板</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1.15</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网络模块面板</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通用超五/六/七类86型网络模块四口面板</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1.16 </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网线跳线</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5 米超五类非屏蔽双绞线跳线</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根</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1.17</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网线跳线</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2 米超五类非屏蔽双绞线跳线</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根</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1.18 </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网线跳线</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5 米六类非屏蔽双绞线跳线</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根</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1.19</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网线跳线</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2 米六类非屏蔽双绞线跳线</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根</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1.20 </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光纤</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光缆6芯、单模</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米</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1.21</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光纤</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光缆12芯、单模</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米</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1.22 </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光纤熔接包</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光纤防水熔接包</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1.23</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耦合器</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ST-ST头</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套</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1.24 </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光端盒</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24口</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1.25</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光端盒</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8口</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1.26 </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光纤跳线</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纤跳线 SC-LC，FC-LC,LC-LC单模3M</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根</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1.27</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光纤跳线</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纤跳线 SC-LC，FC-LC,LC-LC单模5M</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根</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1.28 </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光纤跳线</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纤跳线 SC-LC，FC-LC,LC-LC单模10M</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根</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1.29</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HDMI线</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5米HDMI线2.0版 4K60Hz数字高清线</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根</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1.30 </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HDMI线</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10米HDMI线2.0版 4K60Hz数字高清线</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根</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1.31</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HDMI线</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15米HDMI线2.0版 4K60Hz数字高清线</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根</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1.32 </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电源线</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RVV2*1.0平方护套电源线</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米</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1.33</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电源线</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RVV2*1.5平方护套电源线</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米</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1.34 </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电源线</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RVV3*2.5平方护套电源线</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米</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1.35</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机柜</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0.6米  600*550*400mm</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1.36 </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机柜</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0.35米  350*550*400mm</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1.37</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PDU</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10A 8孔 防雷PDU配线长度3米</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1.38 </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插线板</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8位五孔总控 3米 配线3*1.0mm以上</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1.39</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插座</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86型5孔明装插座</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1.40 </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底盒</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86型明装底盒</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1.41</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投影支架</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加长型1.5投影吊装支架</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1.42 </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接线端子</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接线端子 100 个/盒</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盒</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1.43</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RJ45 头</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超五类非屏蔽水晶头100 个/盒</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盒</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1.44 </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RJ45 头</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六类非屏蔽水晶头100 个/盒</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盒</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1.45</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RJ46 头</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六类屏蔽水晶头101 个/盒</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盒</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1.46 </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PVC线槽</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60MM*40MM线槽</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米</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1.47</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PVC线槽</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30MM*19MM线槽</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米</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1.48 </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PVC线槽</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24MM*14MM线槽</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米</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1.49</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PVC线管</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Style w:val="32"/>
                <w:rFonts w:hint="eastAsia" w:ascii="仿宋_GB2312" w:hAnsi="仿宋_GB2312" w:eastAsia="仿宋_GB2312" w:cs="仿宋_GB2312"/>
                <w:sz w:val="18"/>
                <w:szCs w:val="18"/>
                <w:lang w:val="en-US" w:eastAsia="zh-CN" w:bidi="ar"/>
              </w:rPr>
              <w:t>ф</w:t>
            </w:r>
            <w:r>
              <w:rPr>
                <w:rFonts w:hint="eastAsia" w:ascii="仿宋_GB2312" w:hAnsi="仿宋_GB2312" w:eastAsia="仿宋_GB2312" w:cs="仿宋_GB2312"/>
                <w:i w:val="0"/>
                <w:iCs w:val="0"/>
                <w:color w:val="000000"/>
                <w:kern w:val="0"/>
                <w:sz w:val="18"/>
                <w:szCs w:val="18"/>
                <w:u w:val="none"/>
                <w:lang w:val="en-US" w:eastAsia="zh-CN" w:bidi="ar"/>
              </w:rPr>
              <w:t>25MM PVC线管</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米</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1.50 </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金属桥架</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100*75桥架</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米</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1.51</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金属桥架</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50*50桥架</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米</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1.52 </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镀锌铁管</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Style w:val="32"/>
                <w:rFonts w:hint="eastAsia" w:ascii="仿宋_GB2312" w:hAnsi="仿宋_GB2312" w:eastAsia="仿宋_GB2312" w:cs="仿宋_GB2312"/>
                <w:sz w:val="18"/>
                <w:szCs w:val="18"/>
                <w:lang w:val="en-US" w:eastAsia="zh-CN" w:bidi="ar"/>
              </w:rPr>
              <w:t>ф</w:t>
            </w:r>
            <w:r>
              <w:rPr>
                <w:rFonts w:hint="eastAsia" w:ascii="仿宋_GB2312" w:hAnsi="仿宋_GB2312" w:eastAsia="仿宋_GB2312" w:cs="仿宋_GB2312"/>
                <w:i w:val="0"/>
                <w:iCs w:val="0"/>
                <w:color w:val="000000"/>
                <w:kern w:val="0"/>
                <w:sz w:val="18"/>
                <w:szCs w:val="18"/>
                <w:u w:val="none"/>
                <w:lang w:val="en-US" w:eastAsia="zh-CN" w:bidi="ar"/>
              </w:rPr>
              <w:t>20MM镀锌铁管</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米</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1.53</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镀锌铁管</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Style w:val="32"/>
                <w:rFonts w:hint="eastAsia" w:ascii="仿宋_GB2312" w:hAnsi="仿宋_GB2312" w:eastAsia="仿宋_GB2312" w:cs="仿宋_GB2312"/>
                <w:sz w:val="18"/>
                <w:szCs w:val="18"/>
                <w:lang w:val="en-US" w:eastAsia="zh-CN" w:bidi="ar"/>
              </w:rPr>
              <w:t>ф</w:t>
            </w:r>
            <w:r>
              <w:rPr>
                <w:rFonts w:hint="eastAsia" w:ascii="仿宋_GB2312" w:hAnsi="仿宋_GB2312" w:eastAsia="仿宋_GB2312" w:cs="仿宋_GB2312"/>
                <w:i w:val="0"/>
                <w:iCs w:val="0"/>
                <w:color w:val="000000"/>
                <w:kern w:val="0"/>
                <w:sz w:val="18"/>
                <w:szCs w:val="18"/>
                <w:u w:val="none"/>
                <w:lang w:val="en-US" w:eastAsia="zh-CN" w:bidi="ar"/>
              </w:rPr>
              <w:t>25MM镀锌铁管</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米</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1.54 </w:t>
            </w:r>
          </w:p>
        </w:tc>
        <w:tc>
          <w:tcPr>
            <w:tcW w:w="5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布线费</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信息点网线布线</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点</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1.55</w:t>
            </w: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电话点布线</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点</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1.56 </w:t>
            </w: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车间、生产线金属桥架安装服务</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米</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1.57</w:t>
            </w: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车间、生产线穿线管安装服务</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米</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1.58 </w:t>
            </w: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光纤布线</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米</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1.59</w:t>
            </w: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光纤熔接</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芯</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1.60 </w:t>
            </w: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光纤熔接：不足12芯按次计算</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次</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1.61</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人工服务费</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一般人工服务费</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人/天</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1.62 </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特殊工具</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电焊机（含具备资质的操作人员）</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次</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1.63</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特殊工具</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登高车：5天/次，支持14米登高。</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次</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99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小计</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仿宋_GB2312" w:hAnsi="仿宋_GB2312" w:eastAsia="仿宋_GB2312" w:cs="仿宋_GB2312"/>
                <w:b/>
                <w:bCs/>
                <w:i w:val="0"/>
                <w:iCs w:val="0"/>
                <w:color w:val="000000"/>
                <w:sz w:val="18"/>
                <w:szCs w:val="18"/>
                <w:u w:val="none"/>
                <w:lang w:val="en-US"/>
              </w:rPr>
            </w:pPr>
            <w:r>
              <w:rPr>
                <w:rFonts w:hint="eastAsia" w:ascii="仿宋_GB2312" w:hAnsi="仿宋_GB2312" w:eastAsia="仿宋_GB2312" w:cs="仿宋_GB2312"/>
                <w:b/>
                <w:bCs/>
                <w:i w:val="0"/>
                <w:iCs w:val="0"/>
                <w:color w:val="000000"/>
                <w:kern w:val="0"/>
                <w:sz w:val="18"/>
                <w:szCs w:val="18"/>
                <w:u w:val="none"/>
                <w:lang w:val="en-US" w:eastAsia="zh-CN" w:bidi="ar"/>
              </w:rPr>
              <w:t>二、网络设备-A2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序号</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项目</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型号</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仿宋_GB2312" w:hAnsi="仿宋_GB2312" w:eastAsia="仿宋_GB2312" w:cs="仿宋_GB2312"/>
                <w:b/>
                <w:bCs/>
                <w:i w:val="0"/>
                <w:iCs w:val="0"/>
                <w:color w:val="000000"/>
                <w:sz w:val="18"/>
                <w:szCs w:val="18"/>
                <w:u w:val="none"/>
              </w:rPr>
            </w:pPr>
            <w:r>
              <w:rPr>
                <w:rFonts w:hint="eastAsia" w:ascii="仿宋_GB2312" w:hAnsi="仿宋_GB2312" w:cs="仿宋_GB2312"/>
                <w:b/>
                <w:bCs/>
                <w:i w:val="0"/>
                <w:iCs w:val="0"/>
                <w:color w:val="000000"/>
                <w:kern w:val="0"/>
                <w:sz w:val="18"/>
                <w:szCs w:val="18"/>
                <w:u w:val="none"/>
                <w:lang w:val="en-US" w:eastAsia="zh-CN" w:bidi="ar"/>
              </w:rPr>
              <w:t>规格/参数/要求</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单位</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数量</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税率</w:t>
            </w:r>
          </w:p>
        </w:tc>
        <w:tc>
          <w:tcPr>
            <w:tcW w:w="500"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不含税单价（元）</w:t>
            </w:r>
          </w:p>
        </w:tc>
        <w:tc>
          <w:tcPr>
            <w:tcW w:w="501"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含税单价（元）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48口接入交换机</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H3C</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S5130V2-52P-LI</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 性能：整机交换容量 ≥496Gbps；转发性能 ≥126Mpps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 端口：≥48千兆电+4千兆SFP</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 MAC地址表≥16K，IPv4路由表容量≥512，ARP≥1K</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 . 支持IPv4/IPv6静态路由，支持RIP/RIPng，OSPFV2/V3</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 交换机支持≥9台物理设备虚拟化技术，支持完善的堆叠分裂检测机制，堆叠分裂后能自动完成MAC和IP地址的重配置，无需手动干预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 实现ERPS功能，能够快速阻断环路，链路收敛时间≤50ms</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 xml:space="preserve">7. 实现CPU保护功能，能限制非法报文对CPU的攻击，保护交换机在各种环境下稳定工作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8.支持RRPP（快速环网保护协议），环网故障恢复时间不超过50ms，支持Smartlink，支持PVST功能；</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24口接入交换机</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H3C</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S5130V2-28P-LI</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 性能：整机交换容量 ≥336Gbps；转发性能 ≥108Mpps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 端口：≥24千兆电+4千兆SFP</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 MAC地址表≥16K，IPv4路由表容量≥512，ARP≥1K</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 . 支持IPv4/IPv6静态路由，支持RIP/RIPng，OSPFV2/V3</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 交换机支持≥9台物理设备虚拟化技术，支持完善的堆叠分裂检测机制，堆叠分裂后能自动完成MAC和IP地址的重配置，无需手动干预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 实现ERPS功能，能够快速阻断环路，链路收敛时间≤50ms</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 xml:space="preserve">7. 实现CPU保护功能，能限制非法报文对CPU的攻击，保护交换机在各种环境下稳定工作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8.支持RRPP（快速环网保护协议），环网故障恢复时间不超过50ms，支持Smartlink，支持PVST功能；</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 支持SNMP V1/V2/V3、RMON、SSHV2；支持端口休眠，关闭没有应用的端口，节省能源</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16口接入交换机</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H3C</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S5130V2-20P-LI</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1．性能：整机交换容量 ≥336Gbps；转发性能 ≥96Mpps</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2.固定接口：16*10/100/1000BASE-T电口+4*1000BASE-X SFP端口；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3.支持基于端口的VLAN，支持QinQ、灵活QinQ；</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4.支持IPv4/IPv6静态路由，支持RIP/RIPng，OSPF v2/v3，支持组播VLAN；</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5.支持STP/RSTP/MSTP协议</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6.支持命令行接口（CLI）配置，支持Telnet远程配置，支持通过Console口配置；</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8口接入交换机</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H3C</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S1208V</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1．性能：整机交换容量 ≥16Gbps；转发性能 ≥11.9Mpps</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2.固定端口：8个10/100/1000M以太网端口，背板交换容量：16Gbps，转发能力：11.9Mpps；</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5口接入交换机</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H3C</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S1205V</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1．性能：整机交换容量 ≥10Gbps；转发性能 ≥7.4Mpps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2.固定端口：5个10/100/1000M以太网端口，背板交换容量：10Gbps，转发能力：7.4Mpps；</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16口POE交换机</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H3C</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S1218F-HPWR</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1．性能：整机交换容量 ≥36Gbps；转发性能 ≥28.8Mpps</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2.固定端口：16个10/100/1000Base-T电口(包含两个uplink口，可作为上行口)，2个1000Base-X SFP端口（uplink）；支持PoE+，整机最大输出：225W，单端口最大供电功率 30W；</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2.7</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8口POE交换机</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H3C</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S1210F-HPWR</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1．性能：背板交换容量 ≥20Gbps，转发能力 ≥14Mpps</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2.固定端口：8个10/100/1000M以太网端口，2个1000BASE-X SFP端口；PoE 供电功率≥125W;</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2.8</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光纤收发器</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H3C</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FC01G-3A/3B</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一光一电千兆单模单纤收发器</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2.9</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光纤收发器</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H3C</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FC01G-3A+FC04G-3B</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一光四电千兆单模单纤收发器</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2.10 </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光纤收发器</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H3C</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FC01-20A/B</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一光一电百兆单模单纤收发器</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2.11 </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千兆单模</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H3C</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SFP-GE-LX-SM1310-D</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千兆1310nm,10km,LC光模块</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块</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2.12 </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千兆多模</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H3C</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SFP-GE-LX-MM850-D</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千兆850nm,0.55km,LC光模块</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块</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2.13 </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无线 AP 授权</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H3C</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LIS-WX-8-BE</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H3C WX系列控制器无线AP管理授权</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套</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2.14 </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无线AP</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H3C</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EWP-WA6520-FIT</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内置天线双频四流802.11ax/ac/n无线接入点</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99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小计</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default" w:ascii="仿宋_GB2312" w:hAnsi="仿宋_GB2312" w:eastAsia="仿宋_GB2312" w:cs="仿宋_GB2312"/>
                <w:b/>
                <w:bCs/>
                <w:i w:val="0"/>
                <w:iCs w:val="0"/>
                <w:color w:val="000000"/>
                <w:sz w:val="18"/>
                <w:szCs w:val="18"/>
                <w:u w:val="none"/>
                <w:lang w:val="en-US"/>
              </w:rPr>
            </w:pPr>
            <w:r>
              <w:rPr>
                <w:rFonts w:hint="eastAsia" w:ascii="仿宋_GB2312" w:hAnsi="仿宋_GB2312" w:eastAsia="仿宋_GB2312" w:cs="仿宋_GB2312"/>
                <w:b/>
                <w:bCs/>
                <w:i w:val="0"/>
                <w:iCs w:val="0"/>
                <w:color w:val="000000"/>
                <w:kern w:val="0"/>
                <w:sz w:val="18"/>
                <w:szCs w:val="18"/>
                <w:u w:val="none"/>
                <w:lang w:val="en-US" w:eastAsia="zh-CN" w:bidi="ar"/>
              </w:rPr>
              <w:t>三、视频监控设备-A3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序号</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项目</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型号</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仿宋_GB2312" w:hAnsi="仿宋_GB2312" w:eastAsia="仿宋_GB2312" w:cs="仿宋_GB2312"/>
                <w:b/>
                <w:bCs/>
                <w:i w:val="0"/>
                <w:iCs w:val="0"/>
                <w:color w:val="000000"/>
                <w:sz w:val="18"/>
                <w:szCs w:val="18"/>
                <w:u w:val="none"/>
              </w:rPr>
            </w:pPr>
            <w:r>
              <w:rPr>
                <w:rFonts w:hint="eastAsia" w:ascii="仿宋_GB2312" w:hAnsi="仿宋_GB2312" w:cs="仿宋_GB2312"/>
                <w:b/>
                <w:bCs/>
                <w:i w:val="0"/>
                <w:iCs w:val="0"/>
                <w:color w:val="000000"/>
                <w:kern w:val="0"/>
                <w:sz w:val="18"/>
                <w:szCs w:val="18"/>
                <w:u w:val="none"/>
                <w:lang w:val="en-US" w:eastAsia="zh-CN" w:bidi="ar"/>
              </w:rPr>
              <w:t>规格/参数/要求</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单位</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数量</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税率</w:t>
            </w:r>
          </w:p>
        </w:tc>
        <w:tc>
          <w:tcPr>
            <w:tcW w:w="500"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不含税单价（元）</w:t>
            </w:r>
          </w:p>
        </w:tc>
        <w:tc>
          <w:tcPr>
            <w:tcW w:w="501"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含税单价（元）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监控支架</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海康</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适配摄像机型</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适配摄像机型</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球机吊装支架加长杆</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海康</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通用吊装支架</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150-300cm伸缩范围，匹配现有设备及环境</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3.3</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室外壁挂监控箱</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海康</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DS-CCU400</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室外防水防尘布线抱杆箱400*500*300mm DS-CCU400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3.4</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摄像机电源</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海康/小耳朵</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DC12V/2A 监控摄像头防水电源</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摄像机电源</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海康/小耳朵</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AC24V/3A 监控摄像头防水电源</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摄像机</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海康</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DS-2CD3T46WDV3-I3</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400万像素枪机，支持POE供电，可接入现有监控系统，含配套电源、支架</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3.7</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摄像机</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海康</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DS-2CD3346WDV3-I</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400万像素半球机，支持POE供电，可接入现有监控系统，含配套电源、支架</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摄像机</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海康</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DS-2DC4423IW-DE</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400万像素4寸球机，支持POE供电，可接入现有监控系统，含配套电源、支架</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3.9</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监控硬盘</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希捷/西数</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监控级4T硬盘</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块</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3.10 </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监控硬盘</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希捷/西数</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监控级8T硬盘</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块</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3.11</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POE电源分离器</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海康/小耳朵</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监控电源POE标准隔离型分离器</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3.12 </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视频监视器维修</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43寸液晶监视器维修</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次</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99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小计</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default" w:ascii="仿宋_GB2312" w:hAnsi="仿宋_GB2312" w:eastAsia="仿宋_GB2312" w:cs="仿宋_GB2312"/>
                <w:b/>
                <w:bCs/>
                <w:i w:val="0"/>
                <w:iCs w:val="0"/>
                <w:color w:val="000000"/>
                <w:sz w:val="18"/>
                <w:szCs w:val="18"/>
                <w:u w:val="none"/>
                <w:lang w:val="en-US"/>
              </w:rPr>
            </w:pPr>
            <w:r>
              <w:rPr>
                <w:rFonts w:hint="eastAsia" w:ascii="仿宋_GB2312" w:hAnsi="仿宋_GB2312" w:eastAsia="仿宋_GB2312" w:cs="仿宋_GB2312"/>
                <w:b/>
                <w:bCs/>
                <w:i w:val="0"/>
                <w:iCs w:val="0"/>
                <w:color w:val="000000"/>
                <w:kern w:val="0"/>
                <w:sz w:val="18"/>
                <w:szCs w:val="18"/>
                <w:u w:val="none"/>
                <w:lang w:val="en-US" w:eastAsia="zh-CN" w:bidi="ar"/>
              </w:rPr>
              <w:t>四、一卡通系统-A4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序号</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项目</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型号</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仿宋_GB2312" w:hAnsi="仿宋_GB2312" w:eastAsia="仿宋_GB2312" w:cs="仿宋_GB2312"/>
                <w:b/>
                <w:bCs/>
                <w:i w:val="0"/>
                <w:iCs w:val="0"/>
                <w:color w:val="000000"/>
                <w:sz w:val="18"/>
                <w:szCs w:val="18"/>
                <w:u w:val="none"/>
              </w:rPr>
            </w:pPr>
            <w:r>
              <w:rPr>
                <w:rFonts w:hint="eastAsia" w:ascii="仿宋_GB2312" w:hAnsi="仿宋_GB2312" w:cs="仿宋_GB2312"/>
                <w:b/>
                <w:bCs/>
                <w:i w:val="0"/>
                <w:iCs w:val="0"/>
                <w:color w:val="000000"/>
                <w:kern w:val="0"/>
                <w:sz w:val="18"/>
                <w:szCs w:val="18"/>
                <w:u w:val="none"/>
                <w:lang w:val="en-US" w:eastAsia="zh-CN" w:bidi="ar"/>
              </w:rPr>
              <w:t>规格/参数/要求</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单位</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数量</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税率</w:t>
            </w:r>
          </w:p>
        </w:tc>
        <w:tc>
          <w:tcPr>
            <w:tcW w:w="500"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不含税单价（元）</w:t>
            </w:r>
          </w:p>
        </w:tc>
        <w:tc>
          <w:tcPr>
            <w:tcW w:w="501"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含税单价（元）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4.1</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员工白卡</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复旦</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S50</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IC白卡</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张</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4.2</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发卡器</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达实</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DAC FK4160</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达实 DAC FK4160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4.3</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台式消费机</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达实</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DAC XF4870</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达实 DAC XF4870 32位</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4.4</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消费机软键盘</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达实</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适配现有设备</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张</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99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小计</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_GB2312" w:hAnsi="仿宋_GB2312" w:eastAsia="仿宋_GB2312" w:cs="仿宋_GB2312"/>
                <w:b/>
                <w:bCs/>
                <w:i w:val="0"/>
                <w:iCs w:val="0"/>
                <w:color w:val="000000"/>
                <w:sz w:val="18"/>
                <w:szCs w:val="18"/>
                <w:u w:val="none"/>
                <w:lang w:val="en-US"/>
              </w:rPr>
            </w:pPr>
            <w:r>
              <w:rPr>
                <w:rFonts w:hint="eastAsia" w:ascii="仿宋_GB2312" w:hAnsi="仿宋_GB2312" w:eastAsia="仿宋_GB2312" w:cs="仿宋_GB2312"/>
                <w:b/>
                <w:bCs/>
                <w:i w:val="0"/>
                <w:iCs w:val="0"/>
                <w:color w:val="000000"/>
                <w:kern w:val="0"/>
                <w:sz w:val="18"/>
                <w:szCs w:val="18"/>
                <w:u w:val="none"/>
                <w:lang w:val="en-US" w:eastAsia="zh-CN" w:bidi="ar"/>
              </w:rPr>
              <w:t>五、广播系统-A5</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b/>
                <w:bCs/>
                <w:i w:val="0"/>
                <w:iCs w:val="0"/>
                <w:color w:val="000000"/>
                <w:sz w:val="18"/>
                <w:szCs w:val="18"/>
                <w:u w:val="none"/>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b/>
                <w:bCs/>
                <w:i w:val="0"/>
                <w:iCs w:val="0"/>
                <w:color w:val="000000"/>
                <w:sz w:val="18"/>
                <w:szCs w:val="18"/>
                <w:u w:val="none"/>
              </w:rPr>
            </w:pPr>
          </w:p>
        </w:tc>
        <w:tc>
          <w:tcPr>
            <w:tcW w:w="1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b/>
                <w:bCs/>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b/>
                <w:bCs/>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b/>
                <w:bCs/>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b/>
                <w:bCs/>
                <w:i w:val="0"/>
                <w:iCs w:val="0"/>
                <w:color w:val="000000"/>
                <w:sz w:val="18"/>
                <w:szCs w:val="18"/>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b/>
                <w:bCs/>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序号</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项目</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型号</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仿宋_GB2312" w:hAnsi="仿宋_GB2312" w:eastAsia="仿宋_GB2312" w:cs="仿宋_GB2312"/>
                <w:b/>
                <w:bCs/>
                <w:i w:val="0"/>
                <w:iCs w:val="0"/>
                <w:color w:val="000000"/>
                <w:sz w:val="18"/>
                <w:szCs w:val="18"/>
                <w:u w:val="none"/>
              </w:rPr>
            </w:pPr>
            <w:r>
              <w:rPr>
                <w:rFonts w:hint="eastAsia" w:ascii="仿宋_GB2312" w:hAnsi="仿宋_GB2312" w:cs="仿宋_GB2312"/>
                <w:b/>
                <w:bCs/>
                <w:i w:val="0"/>
                <w:iCs w:val="0"/>
                <w:color w:val="000000"/>
                <w:kern w:val="0"/>
                <w:sz w:val="18"/>
                <w:szCs w:val="18"/>
                <w:u w:val="none"/>
                <w:lang w:val="en-US" w:eastAsia="zh-CN" w:bidi="ar"/>
              </w:rPr>
              <w:t>规格/参数/要求</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单位</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数量</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税率</w:t>
            </w:r>
          </w:p>
        </w:tc>
        <w:tc>
          <w:tcPr>
            <w:tcW w:w="500"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不含税单价（元）</w:t>
            </w:r>
          </w:p>
        </w:tc>
        <w:tc>
          <w:tcPr>
            <w:tcW w:w="501"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含税单价（元）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CD播放器</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ITC</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T-6221</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5.2</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广播话筒</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ITC</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T-521A</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5.3</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节目定时器</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ITC</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T-6205</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5.4</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前置放大器</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ITC</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T-6201</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5.5</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数据转换IP终端</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ITC</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T-6713</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5.6</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音柱</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ITC</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T-804</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室外豪华型防水</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99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小计</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default" w:ascii="仿宋_GB2312" w:hAnsi="仿宋_GB2312" w:eastAsia="仿宋_GB2312" w:cs="仿宋_GB2312"/>
                <w:b/>
                <w:bCs/>
                <w:i w:val="0"/>
                <w:iCs w:val="0"/>
                <w:color w:val="000000"/>
                <w:sz w:val="18"/>
                <w:szCs w:val="18"/>
                <w:u w:val="none"/>
                <w:lang w:val="en-US"/>
              </w:rPr>
            </w:pPr>
            <w:r>
              <w:rPr>
                <w:rFonts w:hint="eastAsia" w:ascii="仿宋_GB2312" w:hAnsi="仿宋_GB2312" w:eastAsia="仿宋_GB2312" w:cs="仿宋_GB2312"/>
                <w:b/>
                <w:bCs/>
                <w:i w:val="0"/>
                <w:iCs w:val="0"/>
                <w:color w:val="000000"/>
                <w:kern w:val="0"/>
                <w:sz w:val="18"/>
                <w:szCs w:val="18"/>
                <w:u w:val="none"/>
                <w:lang w:val="en-US" w:eastAsia="zh-CN" w:bidi="ar"/>
              </w:rPr>
              <w:t>六、停车场管理系统-A6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序号</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项目</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型号</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仿宋_GB2312" w:hAnsi="仿宋_GB2312" w:eastAsia="仿宋_GB2312" w:cs="仿宋_GB2312"/>
                <w:b/>
                <w:bCs/>
                <w:i w:val="0"/>
                <w:iCs w:val="0"/>
                <w:color w:val="000000"/>
                <w:sz w:val="18"/>
                <w:szCs w:val="18"/>
                <w:u w:val="none"/>
              </w:rPr>
            </w:pPr>
            <w:r>
              <w:rPr>
                <w:rFonts w:hint="eastAsia" w:ascii="仿宋_GB2312" w:hAnsi="仿宋_GB2312" w:cs="仿宋_GB2312"/>
                <w:b/>
                <w:bCs/>
                <w:i w:val="0"/>
                <w:iCs w:val="0"/>
                <w:color w:val="000000"/>
                <w:kern w:val="0"/>
                <w:sz w:val="18"/>
                <w:szCs w:val="18"/>
                <w:u w:val="none"/>
                <w:lang w:val="en-US" w:eastAsia="zh-CN" w:bidi="ar"/>
              </w:rPr>
              <w:t>规格/参数/要求</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单位</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数量</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税率</w:t>
            </w:r>
          </w:p>
        </w:tc>
        <w:tc>
          <w:tcPr>
            <w:tcW w:w="500"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不含税单价（元）</w:t>
            </w:r>
          </w:p>
        </w:tc>
        <w:tc>
          <w:tcPr>
            <w:tcW w:w="501"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含税单价（元）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6.1</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道闸遥控功能模块</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富士</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适配现有设备</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6.2</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道闸遥控器</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富士</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适配现有设备</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6.3</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地感线圈</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达实</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DAC DG01</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适配现有设备</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套</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6.4</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软件加密狗</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富士</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FJC-Z613</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适配现有设备</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99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小计</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default" w:ascii="仿宋_GB2312" w:hAnsi="仿宋_GB2312" w:eastAsia="仿宋_GB2312" w:cs="仿宋_GB2312"/>
                <w:b/>
                <w:bCs/>
                <w:i w:val="0"/>
                <w:iCs w:val="0"/>
                <w:color w:val="000000"/>
                <w:sz w:val="18"/>
                <w:szCs w:val="18"/>
                <w:u w:val="none"/>
                <w:lang w:val="en-US"/>
              </w:rPr>
            </w:pPr>
            <w:r>
              <w:rPr>
                <w:rFonts w:hint="eastAsia" w:ascii="仿宋_GB2312" w:hAnsi="仿宋_GB2312" w:eastAsia="仿宋_GB2312" w:cs="仿宋_GB2312"/>
                <w:b/>
                <w:bCs/>
                <w:i w:val="0"/>
                <w:iCs w:val="0"/>
                <w:color w:val="000000"/>
                <w:kern w:val="0"/>
                <w:sz w:val="18"/>
                <w:szCs w:val="18"/>
                <w:u w:val="none"/>
                <w:lang w:val="en-US" w:eastAsia="zh-CN" w:bidi="ar"/>
              </w:rPr>
              <w:t>七、巡更系统-A7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序号</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项目</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品牌</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型号</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仿宋_GB2312" w:hAnsi="仿宋_GB2312" w:eastAsia="仿宋_GB2312" w:cs="仿宋_GB2312"/>
                <w:b/>
                <w:bCs/>
                <w:i w:val="0"/>
                <w:iCs w:val="0"/>
                <w:color w:val="000000"/>
                <w:sz w:val="18"/>
                <w:szCs w:val="18"/>
                <w:u w:val="none"/>
              </w:rPr>
            </w:pPr>
            <w:r>
              <w:rPr>
                <w:rFonts w:hint="eastAsia" w:ascii="仿宋_GB2312" w:hAnsi="仿宋_GB2312" w:cs="仿宋_GB2312"/>
                <w:b/>
                <w:bCs/>
                <w:i w:val="0"/>
                <w:iCs w:val="0"/>
                <w:color w:val="000000"/>
                <w:kern w:val="0"/>
                <w:sz w:val="18"/>
                <w:szCs w:val="18"/>
                <w:u w:val="none"/>
                <w:lang w:val="en-US" w:eastAsia="zh-CN" w:bidi="ar"/>
              </w:rPr>
              <w:t>规格/参数/要求</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单位</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数量</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税率</w:t>
            </w:r>
          </w:p>
        </w:tc>
        <w:tc>
          <w:tcPr>
            <w:tcW w:w="500"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不含税单价（元）</w:t>
            </w:r>
          </w:p>
        </w:tc>
        <w:tc>
          <w:tcPr>
            <w:tcW w:w="501"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含税单价（元）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7.1</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地点钮</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蓝卡</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BLC-7-27</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7.2</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胶囊状信息钮</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蓝卡</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BLC-6-28</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7.3</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软件加密狗</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蓝卡</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适配系统</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7.4</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信息钮</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蓝卡</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BLC-22</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钮扣状</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7.5</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巡检器</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蓝卡</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BP-2012S</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支</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7.6</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专用无线通讯座</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蓝卡</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BS-1000</w:t>
            </w:r>
          </w:p>
        </w:tc>
        <w:tc>
          <w:tcPr>
            <w:tcW w:w="1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399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小计</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18"/>
                <w:szCs w:val="18"/>
                <w:u w:val="none"/>
              </w:rPr>
            </w:pPr>
          </w:p>
        </w:tc>
      </w:tr>
    </w:tbl>
    <w:p>
      <w:pPr>
        <w:rPr>
          <w:rFonts w:hint="eastAsia" w:ascii="宋体" w:hAnsi="宋体"/>
          <w:b/>
          <w:bCs/>
          <w:color w:val="auto"/>
          <w:sz w:val="24"/>
          <w:szCs w:val="24"/>
          <w:highlight w:val="none"/>
          <w:lang w:val="en-US" w:eastAsia="zh-CN"/>
        </w:rPr>
      </w:pPr>
    </w:p>
    <w:p>
      <w:pPr>
        <w:rPr>
          <w:rFonts w:hint="eastAsia" w:ascii="宋体" w:hAnsi="宋体"/>
          <w:b/>
          <w:bCs/>
          <w:color w:val="auto"/>
          <w:sz w:val="24"/>
          <w:szCs w:val="24"/>
          <w:highlight w:val="none"/>
          <w:lang w:val="en-US" w:eastAsia="zh-CN"/>
        </w:rPr>
      </w:pPr>
    </w:p>
    <w:p>
      <w:pPr>
        <w:rPr>
          <w:rFonts w:hint="eastAsia" w:ascii="宋体" w:hAnsi="宋体"/>
          <w:b/>
          <w:bCs/>
          <w:color w:val="auto"/>
          <w:sz w:val="24"/>
          <w:szCs w:val="24"/>
          <w:highlight w:val="none"/>
          <w:lang w:val="en-US" w:eastAsia="zh-CN"/>
        </w:rPr>
      </w:pPr>
    </w:p>
    <w:p>
      <w:pPr>
        <w:rPr>
          <w:rFonts w:hint="eastAsia" w:ascii="宋体" w:hAnsi="宋体"/>
          <w:b/>
          <w:bCs/>
          <w:color w:val="auto"/>
          <w:sz w:val="24"/>
          <w:szCs w:val="24"/>
          <w:highlight w:val="none"/>
          <w:lang w:val="en-US" w:eastAsia="zh-CN"/>
        </w:rPr>
      </w:pPr>
    </w:p>
    <w:p>
      <w:pPr>
        <w:rPr>
          <w:rFonts w:hint="eastAsia" w:ascii="宋体" w:hAnsi="宋体"/>
          <w:b/>
          <w:bCs/>
          <w:color w:val="auto"/>
          <w:sz w:val="24"/>
          <w:szCs w:val="24"/>
          <w:highlight w:val="none"/>
          <w:lang w:val="en-US" w:eastAsia="zh-CN"/>
        </w:rPr>
      </w:pPr>
    </w:p>
    <w:p>
      <w:pPr>
        <w:rPr>
          <w:rFonts w:hint="eastAsia" w:ascii="宋体" w:hAnsi="宋体"/>
          <w:b/>
          <w:bCs/>
          <w:color w:val="auto"/>
          <w:sz w:val="24"/>
          <w:szCs w:val="24"/>
          <w:highlight w:val="none"/>
          <w:lang w:val="en-US" w:eastAsia="zh-CN"/>
        </w:rPr>
      </w:pPr>
    </w:p>
    <w:p>
      <w:pPr>
        <w:rPr>
          <w:rFonts w:hint="eastAsia" w:ascii="宋体" w:hAnsi="宋体"/>
          <w:b/>
          <w:bCs/>
          <w:color w:val="auto"/>
          <w:sz w:val="24"/>
          <w:szCs w:val="24"/>
          <w:highlight w:val="none"/>
          <w:lang w:val="en-US" w:eastAsia="zh-CN"/>
        </w:rPr>
      </w:pPr>
    </w:p>
    <w:p>
      <w:pPr>
        <w:rPr>
          <w:rFonts w:hint="eastAsia" w:ascii="宋体" w:hAnsi="宋体"/>
          <w:b/>
          <w:bCs/>
          <w:color w:val="auto"/>
          <w:sz w:val="24"/>
          <w:szCs w:val="24"/>
          <w:highlight w:val="none"/>
          <w:lang w:val="en-US" w:eastAsia="zh-CN"/>
        </w:rPr>
      </w:pPr>
    </w:p>
    <w:p>
      <w:pPr>
        <w:rPr>
          <w:rFonts w:hint="eastAsia" w:ascii="宋体" w:hAnsi="宋体"/>
          <w:b/>
          <w:bCs/>
          <w:color w:val="auto"/>
          <w:sz w:val="24"/>
          <w:szCs w:val="24"/>
          <w:highlight w:val="none"/>
          <w:lang w:val="en-US" w:eastAsia="zh-CN"/>
        </w:rPr>
      </w:pPr>
      <w:bookmarkStart w:id="31" w:name="_GoBack"/>
      <w:bookmarkEnd w:id="31"/>
    </w:p>
    <w:p>
      <w:pPr>
        <w:tabs>
          <w:tab w:val="left" w:pos="6000"/>
          <w:tab w:val="left" w:pos="7040"/>
          <w:tab w:val="left" w:pos="8100"/>
        </w:tabs>
        <w:autoSpaceDE w:val="0"/>
        <w:autoSpaceDN w:val="0"/>
        <w:adjustRightInd w:val="0"/>
        <w:spacing w:line="240" w:lineRule="auto"/>
        <w:ind w:right="0" w:firstLine="0" w:firstLineChars="0"/>
        <w:jc w:val="left"/>
        <w:rPr>
          <w:rFonts w:hint="default" w:eastAsia="宋体"/>
          <w:b/>
          <w:bCs/>
          <w:color w:val="auto"/>
          <w:sz w:val="24"/>
          <w:szCs w:val="24"/>
          <w:lang w:val="en-US" w:eastAsia="zh-CN"/>
        </w:rPr>
      </w:pPr>
      <w:r>
        <w:rPr>
          <w:rFonts w:hint="eastAsia" w:ascii="宋体" w:hAnsi="宋体" w:cs="MingLiU"/>
          <w:b/>
          <w:bCs/>
          <w:snapToGrid w:val="0"/>
          <w:color w:val="auto"/>
          <w:kern w:val="0"/>
          <w:sz w:val="24"/>
          <w:szCs w:val="24"/>
          <w:lang w:val="en-US" w:eastAsia="zh-CN"/>
        </w:rPr>
        <w:t xml:space="preserve">附件五  </w:t>
      </w:r>
      <w:r>
        <w:rPr>
          <w:rFonts w:hint="eastAsia" w:ascii="Times New Roman" w:hAnsi="Times New Roman" w:eastAsia="宋体" w:cs="Times New Roman"/>
          <w:b/>
          <w:bCs/>
          <w:color w:val="auto"/>
          <w:sz w:val="24"/>
          <w:szCs w:val="24"/>
          <w:lang w:val="en-US" w:eastAsia="zh-CN"/>
        </w:rPr>
        <w:t>2025至2026年度弱电系统维保项目</w:t>
      </w:r>
      <w:r>
        <w:rPr>
          <w:rFonts w:hint="eastAsia"/>
          <w:b/>
          <w:bCs/>
          <w:color w:val="auto"/>
          <w:sz w:val="24"/>
          <w:szCs w:val="24"/>
          <w:lang w:val="en-US" w:eastAsia="zh-CN"/>
        </w:rPr>
        <w:t>-退还投标保证金情况说明</w:t>
      </w:r>
    </w:p>
    <w:p>
      <w:pPr>
        <w:pStyle w:val="8"/>
        <w:rPr>
          <w:rFonts w:hint="default" w:ascii="宋体" w:hAnsi="宋体" w:eastAsia="宋体" w:cs="MingLiU"/>
          <w:snapToGrid w:val="0"/>
          <w:color w:val="auto"/>
          <w:kern w:val="0"/>
          <w:sz w:val="24"/>
          <w:szCs w:val="24"/>
          <w:highlight w:val="none"/>
          <w:lang w:val="en-US" w:eastAsia="zh-CN"/>
        </w:rPr>
      </w:pPr>
    </w:p>
    <w:p>
      <w:pPr>
        <w:pStyle w:val="23"/>
        <w:ind w:firstLine="420"/>
        <w:rPr>
          <w:bCs/>
          <w:color w:val="auto"/>
          <w:sz w:val="21"/>
          <w:szCs w:val="21"/>
          <w:highlight w:val="red"/>
        </w:rPr>
      </w:pPr>
      <w:r>
        <w:rPr>
          <w:rFonts w:hint="eastAsia"/>
          <w:bCs/>
          <w:color w:val="auto"/>
          <w:sz w:val="21"/>
          <w:szCs w:val="21"/>
          <w:highlight w:val="red"/>
          <w:lang w:eastAsia="zh-CN"/>
        </w:rPr>
        <w:t>（</w:t>
      </w:r>
      <w:r>
        <w:rPr>
          <w:rFonts w:hint="eastAsia"/>
          <w:bCs/>
          <w:color w:val="auto"/>
          <w:sz w:val="21"/>
          <w:szCs w:val="21"/>
          <w:highlight w:val="red"/>
        </w:rPr>
        <w:t>此页一式2份、1份装订、1份单独递交、打印时删除括号及内容）</w:t>
      </w:r>
    </w:p>
    <w:p>
      <w:pPr>
        <w:pStyle w:val="23"/>
        <w:ind w:firstLine="422"/>
        <w:jc w:val="center"/>
        <w:rPr>
          <w:b/>
          <w:color w:val="auto"/>
          <w:sz w:val="28"/>
          <w:szCs w:val="28"/>
          <w:highlight w:val="none"/>
        </w:rPr>
      </w:pPr>
      <w:r>
        <w:rPr>
          <w:rFonts w:hint="eastAsia"/>
          <w:b/>
          <w:color w:val="auto"/>
          <w:sz w:val="28"/>
          <w:szCs w:val="28"/>
          <w:highlight w:val="none"/>
        </w:rPr>
        <w:t>投标保证金退还说明</w:t>
      </w:r>
    </w:p>
    <w:p>
      <w:pPr>
        <w:pStyle w:val="23"/>
        <w:ind w:firstLine="420"/>
        <w:rPr>
          <w:color w:val="auto"/>
          <w:sz w:val="21"/>
          <w:szCs w:val="21"/>
          <w:highlight w:val="none"/>
        </w:rPr>
      </w:pPr>
    </w:p>
    <w:p>
      <w:pPr>
        <w:pStyle w:val="23"/>
        <w:ind w:firstLine="0" w:firstLineChars="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重汽（重庆）轻型汽车有限公司： </w:t>
      </w:r>
    </w:p>
    <w:p>
      <w:pPr>
        <w:pStyle w:val="23"/>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我公司参与贵公司组织的“</w:t>
      </w:r>
      <w:r>
        <w:rPr>
          <w:rFonts w:hint="eastAsia" w:ascii="宋体" w:hAnsi="宋体" w:eastAsia="宋体" w:cs="宋体"/>
          <w:color w:val="auto"/>
          <w:sz w:val="28"/>
          <w:szCs w:val="28"/>
          <w:highlight w:val="none"/>
          <w:u w:val="none"/>
        </w:rPr>
        <w:t xml:space="preserve"> </w:t>
      </w:r>
      <w:r>
        <w:rPr>
          <w:rFonts w:hint="eastAsia" w:ascii="Times New Roman" w:hAnsi="Times New Roman" w:eastAsia="宋体" w:cs="Times New Roman"/>
          <w:b/>
          <w:bCs/>
          <w:color w:val="auto"/>
          <w:sz w:val="28"/>
          <w:szCs w:val="28"/>
          <w:u w:val="single"/>
          <w:lang w:val="en-US" w:eastAsia="zh-CN"/>
        </w:rPr>
        <w:t>2025至2026年度弱电系统维保项目</w:t>
      </w:r>
      <w:r>
        <w:rPr>
          <w:rFonts w:hint="eastAsia" w:ascii="宋体" w:hAnsi="宋体" w:eastAsia="宋体" w:cs="宋体"/>
          <w:color w:val="auto"/>
          <w:sz w:val="28"/>
          <w:szCs w:val="28"/>
          <w:highlight w:val="none"/>
        </w:rPr>
        <w:t>”投标的有关活动，并缴纳了投标保证金</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000元（大写：</w:t>
      </w:r>
      <w:r>
        <w:rPr>
          <w:rFonts w:hint="eastAsia" w:ascii="宋体" w:hAnsi="宋体" w:cs="宋体"/>
          <w:color w:val="auto"/>
          <w:sz w:val="28"/>
          <w:szCs w:val="28"/>
          <w:highlight w:val="none"/>
          <w:lang w:val="en-US" w:eastAsia="zh-CN"/>
        </w:rPr>
        <w:t>伍仟</w:t>
      </w:r>
      <w:r>
        <w:rPr>
          <w:rFonts w:hint="eastAsia" w:ascii="宋体" w:hAnsi="宋体" w:eastAsia="宋体" w:cs="宋体"/>
          <w:color w:val="auto"/>
          <w:sz w:val="28"/>
          <w:szCs w:val="28"/>
          <w:highlight w:val="none"/>
        </w:rPr>
        <w:t xml:space="preserve">元整）。本次投标已经结束后，请将投标保证金退回我公司以下账号。 </w:t>
      </w:r>
    </w:p>
    <w:p>
      <w:pPr>
        <w:pStyle w:val="23"/>
        <w:ind w:firstLine="420"/>
        <w:rPr>
          <w:rFonts w:hint="eastAsia" w:ascii="宋体" w:hAnsi="宋体" w:eastAsia="宋体" w:cs="宋体"/>
          <w:color w:val="auto"/>
          <w:sz w:val="24"/>
          <w:szCs w:val="24"/>
          <w:highlight w:val="none"/>
        </w:rPr>
      </w:pPr>
    </w:p>
    <w:p>
      <w:pPr>
        <w:pStyle w:val="23"/>
        <w:ind w:firstLine="420"/>
        <w:rPr>
          <w:rFonts w:hint="eastAsia" w:ascii="宋体" w:hAnsi="宋体" w:eastAsia="宋体" w:cs="宋体"/>
          <w:color w:val="auto"/>
          <w:sz w:val="24"/>
          <w:szCs w:val="24"/>
          <w:highlight w:val="none"/>
        </w:rPr>
      </w:pPr>
    </w:p>
    <w:p>
      <w:pPr>
        <w:pStyle w:val="23"/>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公司名称：    </w:t>
      </w:r>
    </w:p>
    <w:p>
      <w:pPr>
        <w:pStyle w:val="23"/>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纳税人识别号： </w:t>
      </w:r>
    </w:p>
    <w:p>
      <w:pPr>
        <w:pStyle w:val="23"/>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地址：      </w:t>
      </w:r>
    </w:p>
    <w:p>
      <w:pPr>
        <w:pStyle w:val="23"/>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开户行：    </w:t>
      </w:r>
    </w:p>
    <w:p>
      <w:pPr>
        <w:pStyle w:val="23"/>
        <w:ind w:firstLine="42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银行帐号：  </w:t>
      </w:r>
    </w:p>
    <w:p>
      <w:pPr>
        <w:pStyle w:val="23"/>
        <w:ind w:firstLine="42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银行行号：</w:t>
      </w:r>
      <w:r>
        <w:rPr>
          <w:rFonts w:hint="eastAsia" w:ascii="宋体" w:hAnsi="宋体" w:eastAsia="宋体" w:cs="宋体"/>
          <w:color w:val="auto"/>
          <w:sz w:val="28"/>
          <w:szCs w:val="28"/>
          <w:highlight w:val="none"/>
        </w:rPr>
        <w:t xml:space="preserve">  </w:t>
      </w:r>
    </w:p>
    <w:p>
      <w:pPr>
        <w:pStyle w:val="23"/>
        <w:ind w:firstLine="420"/>
        <w:rPr>
          <w:rFonts w:hint="eastAsia" w:ascii="宋体" w:hAnsi="宋体" w:eastAsia="宋体" w:cs="宋体"/>
          <w:color w:val="auto"/>
          <w:sz w:val="28"/>
          <w:szCs w:val="28"/>
          <w:highlight w:val="none"/>
        </w:rPr>
      </w:pPr>
    </w:p>
    <w:p>
      <w:pPr>
        <w:pStyle w:val="23"/>
        <w:ind w:firstLine="420"/>
        <w:rPr>
          <w:rFonts w:hint="eastAsia" w:ascii="宋体" w:hAnsi="宋体" w:eastAsia="宋体" w:cs="宋体"/>
          <w:color w:val="auto"/>
          <w:sz w:val="28"/>
          <w:szCs w:val="28"/>
          <w:highlight w:val="none"/>
        </w:rPr>
      </w:pPr>
    </w:p>
    <w:p>
      <w:pPr>
        <w:pStyle w:val="8"/>
        <w:rPr>
          <w:rFonts w:hint="default" w:ascii="宋体" w:hAnsi="宋体" w:eastAsia="宋体" w:cs="MingLiU"/>
          <w:snapToGrid w:val="0"/>
          <w:color w:val="auto"/>
          <w:kern w:val="0"/>
          <w:sz w:val="24"/>
          <w:szCs w:val="24"/>
          <w:highlight w:val="none"/>
          <w:lang w:val="en-US" w:eastAsia="zh-CN"/>
        </w:rPr>
      </w:pPr>
      <w:r>
        <w:rPr>
          <w:rFonts w:hint="eastAsia" w:ascii="宋体" w:hAnsi="宋体" w:eastAsia="宋体" w:cs="宋体"/>
          <w:color w:val="auto"/>
          <w:sz w:val="28"/>
          <w:szCs w:val="28"/>
          <w:highlight w:val="none"/>
        </w:rPr>
        <w:t>特此说明！</w:t>
      </w:r>
      <w:r>
        <w:rPr>
          <w:rFonts w:hint="eastAsia" w:ascii="宋体" w:hAnsi="宋体" w:eastAsia="宋体" w:cs="宋体"/>
          <w:color w:val="auto"/>
          <w:sz w:val="24"/>
          <w:szCs w:val="24"/>
          <w:highlight w:val="none"/>
        </w:rPr>
        <w:t xml:space="preserve"> </w:t>
      </w:r>
    </w:p>
    <w:p>
      <w:pPr>
        <w:rPr>
          <w:rFonts w:hint="eastAsia" w:ascii="宋体" w:hAnsi="宋体"/>
          <w:b/>
          <w:bCs/>
          <w:color w:val="auto"/>
          <w:sz w:val="24"/>
          <w:szCs w:val="24"/>
          <w:highlight w:val="none"/>
          <w:lang w:val="en-US" w:eastAsia="zh-CN"/>
        </w:rPr>
      </w:pPr>
    </w:p>
    <w:p>
      <w:pPr>
        <w:rPr>
          <w:rFonts w:hint="eastAsia" w:ascii="宋体" w:hAnsi="宋体"/>
          <w:b/>
          <w:bCs/>
          <w:color w:val="auto"/>
          <w:sz w:val="24"/>
          <w:szCs w:val="24"/>
          <w:highlight w:val="none"/>
          <w:lang w:val="en-US" w:eastAsia="zh-CN"/>
        </w:rPr>
      </w:pPr>
    </w:p>
    <w:p>
      <w:pPr>
        <w:rPr>
          <w:rFonts w:hint="default" w:ascii="宋体" w:hAnsi="宋体"/>
          <w:b/>
          <w:bCs/>
          <w:color w:val="auto"/>
          <w:sz w:val="24"/>
          <w:szCs w:val="24"/>
          <w:highlight w:val="none"/>
          <w:lang w:val="en-US" w:eastAsia="zh-CN"/>
        </w:rPr>
      </w:pPr>
    </w:p>
    <w:p>
      <w:pPr>
        <w:rPr>
          <w:rFonts w:hint="eastAsia" w:ascii="宋体" w:hAnsi="宋体"/>
          <w:b/>
          <w:bCs/>
          <w:color w:val="auto"/>
          <w:sz w:val="24"/>
          <w:szCs w:val="24"/>
          <w:highlight w:val="none"/>
          <w:lang w:val="en-US" w:eastAsia="zh-CN"/>
        </w:rPr>
      </w:pPr>
    </w:p>
    <w:p>
      <w:pPr>
        <w:rPr>
          <w:rFonts w:hint="eastAsia" w:ascii="宋体" w:hAnsi="宋体"/>
          <w:b/>
          <w:bCs/>
          <w:color w:val="auto"/>
          <w:sz w:val="24"/>
          <w:szCs w:val="24"/>
          <w:highlight w:val="none"/>
          <w:lang w:val="en-US" w:eastAsia="zh-CN"/>
        </w:rPr>
      </w:pPr>
    </w:p>
    <w:p>
      <w:pPr>
        <w:rPr>
          <w:rFonts w:hint="eastAsia" w:ascii="宋体" w:hAnsi="宋体"/>
          <w:b/>
          <w:bCs/>
          <w:color w:val="auto"/>
          <w:sz w:val="24"/>
          <w:szCs w:val="24"/>
          <w:highlight w:val="none"/>
          <w:lang w:val="en-US" w:eastAsia="zh-CN"/>
        </w:rPr>
      </w:pPr>
    </w:p>
    <w:p>
      <w:pPr>
        <w:rPr>
          <w:rFonts w:hint="eastAsia" w:ascii="宋体" w:hAnsi="宋体"/>
          <w:b/>
          <w:bCs/>
          <w:color w:val="auto"/>
          <w:sz w:val="24"/>
          <w:szCs w:val="24"/>
          <w:highlight w:val="none"/>
          <w:lang w:val="en-US" w:eastAsia="zh-CN"/>
        </w:rPr>
      </w:pPr>
    </w:p>
    <w:p>
      <w:pPr>
        <w:rPr>
          <w:rFonts w:hint="eastAsia" w:ascii="宋体" w:hAnsi="宋体"/>
          <w:b/>
          <w:bCs/>
          <w:color w:val="auto"/>
          <w:sz w:val="24"/>
          <w:szCs w:val="24"/>
          <w:highlight w:val="none"/>
          <w:lang w:val="en-US" w:eastAsia="zh-CN"/>
        </w:rPr>
      </w:pPr>
    </w:p>
    <w:p>
      <w:pPr>
        <w:rPr>
          <w:rFonts w:hint="eastAsia" w:ascii="宋体" w:hAnsi="宋体"/>
          <w:b/>
          <w:bCs/>
          <w:color w:val="auto"/>
          <w:sz w:val="24"/>
          <w:szCs w:val="24"/>
          <w:highlight w:val="none"/>
          <w:lang w:val="en-US" w:eastAsia="zh-CN"/>
        </w:rPr>
      </w:pPr>
    </w:p>
    <w:p>
      <w:pPr>
        <w:rPr>
          <w:rFonts w:hint="eastAsia" w:ascii="宋体" w:hAnsi="宋体"/>
          <w:b/>
          <w:bCs/>
          <w:color w:val="auto"/>
          <w:sz w:val="24"/>
          <w:szCs w:val="24"/>
          <w:highlight w:val="none"/>
          <w:lang w:val="en-US" w:eastAsia="zh-CN"/>
        </w:rPr>
      </w:pPr>
    </w:p>
    <w:p>
      <w:pPr>
        <w:rPr>
          <w:rFonts w:hint="eastAsia" w:ascii="宋体" w:hAnsi="宋体"/>
          <w:b/>
          <w:bCs/>
          <w:color w:val="auto"/>
          <w:sz w:val="24"/>
          <w:szCs w:val="24"/>
          <w:highlight w:val="none"/>
          <w:lang w:val="en-US" w:eastAsia="zh-CN"/>
        </w:rPr>
      </w:pPr>
    </w:p>
    <w:p>
      <w:pPr>
        <w:rPr>
          <w:rFonts w:hint="eastAsia" w:ascii="宋体" w:hAnsi="宋体"/>
          <w:b/>
          <w:bCs/>
          <w:color w:val="auto"/>
          <w:sz w:val="24"/>
          <w:szCs w:val="24"/>
          <w:highlight w:val="none"/>
          <w:lang w:val="en-US" w:eastAsia="zh-CN"/>
        </w:rPr>
      </w:pPr>
    </w:p>
    <w:p>
      <w:pPr>
        <w:rPr>
          <w:rFonts w:hint="eastAsia" w:ascii="宋体" w:hAnsi="宋体"/>
          <w:b/>
          <w:bCs/>
          <w:color w:val="auto"/>
          <w:sz w:val="24"/>
          <w:szCs w:val="24"/>
          <w:highlight w:val="none"/>
          <w:lang w:val="en-US" w:eastAsia="zh-CN"/>
        </w:rPr>
      </w:pPr>
    </w:p>
    <w:p>
      <w:pPr>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附录 《项目技术要求》</w:t>
      </w:r>
    </w:p>
    <w:p>
      <w:pPr>
        <w:jc w:val="center"/>
        <w:rPr>
          <w:rFonts w:hint="eastAsia" w:ascii="宋体" w:hAnsi="宋体"/>
          <w:b/>
          <w:bCs/>
          <w:color w:val="auto"/>
          <w:sz w:val="24"/>
          <w:szCs w:val="24"/>
          <w:highlight w:val="none"/>
          <w:lang w:val="zh-CN" w:eastAsia="zh-CN"/>
        </w:rPr>
      </w:pPr>
      <w:r>
        <w:rPr>
          <w:rFonts w:hint="eastAsia" w:ascii="宋体" w:hAnsi="宋体"/>
          <w:b/>
          <w:bCs/>
          <w:color w:val="auto"/>
          <w:sz w:val="36"/>
          <w:szCs w:val="36"/>
          <w:highlight w:val="none"/>
          <w:lang w:val="en-US" w:eastAsia="zh-CN"/>
        </w:rPr>
        <w:t>项目技术要求</w:t>
      </w:r>
    </w:p>
    <w:p>
      <w:pPr>
        <w:pStyle w:val="2"/>
        <w:spacing w:before="120" w:after="120"/>
        <w:jc w:val="left"/>
        <w:rPr>
          <w:sz w:val="28"/>
          <w:szCs w:val="28"/>
          <w:lang w:eastAsia="zh-CN"/>
        </w:rPr>
      </w:pPr>
      <w:bookmarkStart w:id="2" w:name="_Toc40703151"/>
      <w:bookmarkStart w:id="3" w:name="_Toc3443"/>
      <w:r>
        <w:rPr>
          <w:rFonts w:hint="eastAsia"/>
          <w:sz w:val="28"/>
          <w:szCs w:val="28"/>
          <w:lang w:val="en-US" w:eastAsia="zh-CN"/>
        </w:rPr>
        <w:t>一、</w:t>
      </w:r>
      <w:r>
        <w:rPr>
          <w:rFonts w:hint="eastAsia"/>
          <w:sz w:val="28"/>
          <w:szCs w:val="28"/>
          <w:lang w:eastAsia="zh-CN"/>
        </w:rPr>
        <w:t>项目概况</w:t>
      </w:r>
      <w:bookmarkEnd w:id="2"/>
      <w:bookmarkEnd w:id="3"/>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重汽（重庆）轻型汽车有限公司（以下简称</w:t>
      </w:r>
      <w:r>
        <w:rPr>
          <w:rFonts w:hint="eastAsia" w:ascii="仿宋_GB2312" w:hAnsi="仿宋_GB2312" w:cs="仿宋_GB2312"/>
          <w:sz w:val="24"/>
          <w:szCs w:val="22"/>
          <w:lang w:eastAsia="zh-CN"/>
        </w:rPr>
        <w:t>“</w:t>
      </w:r>
      <w:r>
        <w:rPr>
          <w:rFonts w:hint="eastAsia" w:ascii="仿宋_GB2312" w:hAnsi="仿宋_GB2312" w:eastAsia="仿宋_GB2312" w:cs="仿宋_GB2312"/>
          <w:sz w:val="24"/>
          <w:szCs w:val="22"/>
        </w:rPr>
        <w:t>公司</w:t>
      </w:r>
      <w:r>
        <w:rPr>
          <w:rFonts w:hint="eastAsia" w:ascii="仿宋_GB2312" w:hAnsi="仿宋_GB2312" w:cs="仿宋_GB2312"/>
          <w:sz w:val="24"/>
          <w:szCs w:val="22"/>
          <w:lang w:eastAsia="zh-CN"/>
        </w:rPr>
        <w:t>”</w:t>
      </w:r>
      <w:r>
        <w:rPr>
          <w:rFonts w:hint="eastAsia" w:ascii="仿宋_GB2312" w:hAnsi="仿宋_GB2312" w:eastAsia="仿宋_GB2312" w:cs="仿宋_GB2312"/>
          <w:sz w:val="24"/>
          <w:szCs w:val="22"/>
        </w:rPr>
        <w:t>）位于重庆市江津区双福工业园区，是一个具备独立自主研发、生产、销售一体化的汽车企业。公司的综合布线、一卡通、监控安防等弱电系统从2014年起陆续建设、扩建并投入使用，为保证</w:t>
      </w:r>
      <w:r>
        <w:rPr>
          <w:rFonts w:hint="eastAsia" w:ascii="仿宋_GB2312" w:hAnsi="仿宋_GB2312" w:cs="仿宋_GB2312"/>
          <w:sz w:val="24"/>
          <w:szCs w:val="22"/>
          <w:lang w:val="en-US" w:eastAsia="zh-CN"/>
        </w:rPr>
        <w:t>其</w:t>
      </w:r>
      <w:r>
        <w:rPr>
          <w:rFonts w:hint="eastAsia" w:ascii="仿宋_GB2312" w:hAnsi="仿宋_GB2312" w:eastAsia="仿宋_GB2312" w:cs="仿宋_GB2312"/>
          <w:sz w:val="24"/>
          <w:szCs w:val="22"/>
        </w:rPr>
        <w:t>正常运行，现公司决定对弱电系统维保服务进行进行采购。项目基本信息如下：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项目名称：</w:t>
      </w:r>
      <w:r>
        <w:rPr>
          <w:rFonts w:hint="eastAsia" w:ascii="仿宋_GB2312" w:hAnsi="仿宋_GB2312" w:cs="仿宋_GB2312"/>
          <w:b/>
          <w:bCs/>
          <w:sz w:val="24"/>
          <w:szCs w:val="22"/>
          <w:lang w:val="en-US" w:eastAsia="zh-CN"/>
        </w:rPr>
        <w:t>2025至2026年度</w:t>
      </w:r>
      <w:r>
        <w:rPr>
          <w:rFonts w:hint="eastAsia" w:ascii="仿宋_GB2312" w:hAnsi="仿宋_GB2312" w:eastAsia="仿宋_GB2312" w:cs="仿宋_GB2312"/>
          <w:b/>
          <w:sz w:val="24"/>
          <w:szCs w:val="22"/>
        </w:rPr>
        <w:t>弱电系统维保项目</w:t>
      </w:r>
      <w:r>
        <w:rPr>
          <w:rFonts w:hint="eastAsia" w:ascii="仿宋_GB2312" w:hAnsi="仿宋_GB2312" w:eastAsia="仿宋_GB2312" w:cs="仿宋_GB2312"/>
          <w:sz w:val="24"/>
          <w:szCs w:val="22"/>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维保范围：</w:t>
      </w:r>
      <w:r>
        <w:rPr>
          <w:rFonts w:hint="eastAsia" w:ascii="仿宋_GB2312" w:hAnsi="仿宋_GB2312" w:eastAsia="仿宋_GB2312" w:cs="仿宋_GB2312"/>
          <w:b/>
          <w:bCs/>
          <w:sz w:val="24"/>
          <w:szCs w:val="22"/>
        </w:rPr>
        <w:t>综合布线系统、视频监控系统、一卡通系统、广播系统、停车场管理系统、巡更系统。具体维护项见附件一《重庆汽车弱电类设备设备施维护项目清单》</w:t>
      </w:r>
      <w:r>
        <w:rPr>
          <w:rFonts w:hint="eastAsia" w:ascii="仿宋_GB2312" w:hAnsi="仿宋_GB2312" w:eastAsia="仿宋_GB2312" w:cs="仿宋_GB2312"/>
          <w:sz w:val="24"/>
          <w:szCs w:val="22"/>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b/>
          <w:bCs/>
          <w:sz w:val="24"/>
          <w:szCs w:val="22"/>
        </w:rPr>
      </w:pPr>
      <w:r>
        <w:rPr>
          <w:rFonts w:hint="eastAsia" w:ascii="仿宋_GB2312" w:hAnsi="仿宋_GB2312" w:eastAsia="仿宋_GB2312" w:cs="仿宋_GB2312"/>
          <w:sz w:val="24"/>
          <w:szCs w:val="22"/>
        </w:rPr>
        <w:t>维保方式：本项目通过招标方式确定维保供应商，并核定各系统运维需要的设备、设施、配件、材料、工具、人工的采购单价，</w:t>
      </w:r>
      <w:r>
        <w:rPr>
          <w:rFonts w:hint="eastAsia" w:ascii="仿宋_GB2312" w:hAnsi="仿宋_GB2312" w:eastAsia="仿宋_GB2312" w:cs="仿宋_GB2312"/>
          <w:b/>
          <w:bCs/>
          <w:sz w:val="24"/>
          <w:szCs w:val="22"/>
        </w:rPr>
        <w:t>按照确定的维护项目单价与供应商签订维保框架协议，按维保工作的实际用量</w:t>
      </w:r>
      <w:r>
        <w:rPr>
          <w:rFonts w:hint="eastAsia" w:ascii="仿宋_GB2312" w:hAnsi="仿宋_GB2312" w:cs="仿宋_GB2312"/>
          <w:b/>
          <w:bCs/>
          <w:sz w:val="24"/>
          <w:szCs w:val="22"/>
          <w:lang w:val="en-US" w:eastAsia="zh-CN"/>
        </w:rPr>
        <w:t>以三个月为周期</w:t>
      </w:r>
      <w:r>
        <w:rPr>
          <w:rFonts w:hint="eastAsia" w:ascii="仿宋_GB2312" w:hAnsi="仿宋_GB2312" w:eastAsia="仿宋_GB2312" w:cs="仿宋_GB2312"/>
          <w:b/>
          <w:bCs/>
          <w:sz w:val="24"/>
          <w:szCs w:val="22"/>
        </w:rPr>
        <w:t>进行结算。</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bCs/>
          <w:sz w:val="24"/>
          <w:szCs w:val="22"/>
        </w:rPr>
        <w:t>维保期限：一年</w:t>
      </w:r>
    </w:p>
    <w:p>
      <w:pPr>
        <w:pStyle w:val="2"/>
        <w:spacing w:before="120" w:after="120"/>
        <w:jc w:val="left"/>
        <w:rPr>
          <w:sz w:val="28"/>
          <w:szCs w:val="28"/>
        </w:rPr>
      </w:pPr>
      <w:bookmarkStart w:id="4" w:name="_Toc12930"/>
      <w:bookmarkStart w:id="5" w:name="_Toc40703152"/>
      <w:bookmarkStart w:id="6" w:name="_Toc5699941"/>
      <w:r>
        <w:rPr>
          <w:rFonts w:hint="eastAsia"/>
          <w:sz w:val="28"/>
          <w:szCs w:val="28"/>
          <w:lang w:val="en-US" w:eastAsia="zh-CN"/>
        </w:rPr>
        <w:t>二、项目要求</w:t>
      </w:r>
      <w:bookmarkEnd w:id="4"/>
    </w:p>
    <w:p>
      <w:pPr>
        <w:pStyle w:val="3"/>
        <w:bidi w:val="0"/>
        <w:spacing w:line="240" w:lineRule="auto"/>
      </w:pPr>
      <w:bookmarkStart w:id="7" w:name="_Toc21579"/>
      <w:r>
        <w:rPr>
          <w:rFonts w:hint="eastAsia"/>
          <w:lang w:val="en-US" w:eastAsia="zh-CN"/>
        </w:rPr>
        <w:t>2.1</w:t>
      </w:r>
      <w:r>
        <w:rPr>
          <w:rFonts w:hint="eastAsia"/>
        </w:rPr>
        <w:t>现场踏勘</w:t>
      </w:r>
      <w:bookmarkEnd w:id="5"/>
      <w:bookmarkEnd w:id="6"/>
      <w:bookmarkEnd w:id="7"/>
    </w:p>
    <w:p>
      <w:pPr>
        <w:spacing w:before="120" w:after="120"/>
        <w:ind w:firstLine="640"/>
        <w:rPr>
          <w:rFonts w:hint="eastAsia"/>
          <w:sz w:val="24"/>
          <w:szCs w:val="22"/>
        </w:rPr>
      </w:pPr>
      <w:r>
        <w:rPr>
          <w:rFonts w:hint="eastAsia"/>
          <w:sz w:val="24"/>
          <w:szCs w:val="22"/>
        </w:rPr>
        <w:t>投标人结合本技术要求有意愿参与项目且在招标方允许的情况下，完成项目现场踏勘及相关信息的收集，投标人对此实地踏勘的结果负责，且自行承担此过程的全部相关费用；招标人对现场踏勘和信息收集给予配合。</w:t>
      </w:r>
    </w:p>
    <w:p>
      <w:pPr>
        <w:pStyle w:val="3"/>
      </w:pPr>
      <w:bookmarkStart w:id="8" w:name="_Toc12481"/>
      <w:bookmarkStart w:id="9" w:name="_Toc4279"/>
      <w:r>
        <w:rPr>
          <w:rFonts w:hint="eastAsia"/>
          <w:lang w:val="en-US" w:eastAsia="zh-CN"/>
        </w:rPr>
        <w:t>2.2</w:t>
      </w:r>
      <w:r>
        <w:rPr>
          <w:rFonts w:hint="eastAsia"/>
        </w:rPr>
        <w:t>投标方资质要求</w:t>
      </w:r>
      <w:bookmarkEnd w:id="8"/>
      <w:bookmarkEnd w:id="9"/>
    </w:p>
    <w:p>
      <w:pPr>
        <w:pStyle w:val="29"/>
        <w:numPr>
          <w:ilvl w:val="0"/>
          <w:numId w:val="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本项目在投标方经营范围，注册资金不低于</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00万人民币，投标时提供相关证明材料复印件并盖投标方单位公章，原件备查。</w:t>
      </w:r>
    </w:p>
    <w:p>
      <w:pPr>
        <w:pStyle w:val="29"/>
        <w:numPr>
          <w:ilvl w:val="0"/>
          <w:numId w:val="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投标方具有二级以上安防资质。</w:t>
      </w:r>
    </w:p>
    <w:p>
      <w:pPr>
        <w:pStyle w:val="29"/>
        <w:numPr>
          <w:ilvl w:val="0"/>
          <w:numId w:val="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投标方在近三年内至少有三个同类项目案例。</w:t>
      </w:r>
    </w:p>
    <w:p>
      <w:pPr>
        <w:pStyle w:val="29"/>
        <w:numPr>
          <w:ilvl w:val="0"/>
          <w:numId w:val="2"/>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本次招标不接受联合体投标。</w:t>
      </w:r>
    </w:p>
    <w:p>
      <w:pPr>
        <w:pStyle w:val="3"/>
      </w:pPr>
      <w:bookmarkStart w:id="10" w:name="_Toc20998"/>
      <w:bookmarkStart w:id="11" w:name="_Toc14302"/>
      <w:r>
        <w:rPr>
          <w:rFonts w:hint="eastAsia"/>
          <w:lang w:val="en-US" w:eastAsia="zh-CN"/>
        </w:rPr>
        <w:t>2.3</w:t>
      </w:r>
      <w:r>
        <w:rPr>
          <w:rFonts w:hint="eastAsia"/>
        </w:rPr>
        <w:t>投标方服务能力要求</w:t>
      </w:r>
      <w:bookmarkEnd w:id="10"/>
      <w:bookmarkEnd w:id="11"/>
    </w:p>
    <w:p>
      <w:pPr>
        <w:ind w:firstLine="640"/>
        <w:rPr>
          <w:b/>
          <w:bCs/>
          <w:sz w:val="24"/>
          <w:szCs w:val="22"/>
        </w:rPr>
      </w:pPr>
      <w:r>
        <w:rPr>
          <w:rFonts w:hint="eastAsia"/>
          <w:b/>
          <w:bCs/>
          <w:sz w:val="24"/>
          <w:szCs w:val="22"/>
        </w:rPr>
        <w:t>投标方须在本项目所在城市具备售后服务机构和维修专业人员，</w:t>
      </w:r>
      <w:r>
        <w:rPr>
          <w:b/>
          <w:bCs/>
          <w:sz w:val="24"/>
          <w:szCs w:val="22"/>
        </w:rPr>
        <w:t>投标时提供人员社保</w:t>
      </w:r>
      <w:r>
        <w:rPr>
          <w:rFonts w:hint="eastAsia"/>
          <w:b/>
          <w:bCs/>
          <w:sz w:val="24"/>
          <w:szCs w:val="22"/>
        </w:rPr>
        <w:t>参保</w:t>
      </w:r>
      <w:r>
        <w:rPr>
          <w:b/>
          <w:bCs/>
          <w:sz w:val="24"/>
          <w:szCs w:val="22"/>
        </w:rPr>
        <w:t>的证明材料</w:t>
      </w:r>
      <w:r>
        <w:rPr>
          <w:rFonts w:hint="eastAsia"/>
          <w:b/>
          <w:bCs/>
          <w:sz w:val="24"/>
          <w:szCs w:val="22"/>
        </w:rPr>
        <w:t>，盖投标方单位公章。</w:t>
      </w:r>
    </w:p>
    <w:p>
      <w:pPr>
        <w:pStyle w:val="3"/>
      </w:pPr>
      <w:bookmarkStart w:id="12" w:name="_Toc26422"/>
      <w:bookmarkStart w:id="13" w:name="_Toc20143"/>
      <w:r>
        <w:rPr>
          <w:rFonts w:hint="eastAsia"/>
          <w:lang w:val="en-US" w:eastAsia="zh-CN"/>
        </w:rPr>
        <w:t>2.4</w:t>
      </w:r>
      <w:r>
        <w:rPr>
          <w:rFonts w:hint="eastAsia"/>
        </w:rPr>
        <w:t>招标方给定条件</w:t>
      </w:r>
      <w:bookmarkEnd w:id="12"/>
      <w:bookmarkEnd w:id="13"/>
    </w:p>
    <w:p>
      <w:pPr>
        <w:pStyle w:val="29"/>
        <w:numPr>
          <w:ilvl w:val="0"/>
          <w:numId w:val="3"/>
        </w:numPr>
        <w:ind w:firstLineChars="0"/>
      </w:pPr>
      <w:r>
        <w:rPr>
          <w:rFonts w:hint="eastAsia"/>
        </w:rPr>
        <w:t>招标方在能力范围内按内部管理要求提供项目实施所需的水、电等资源，协调项目实施相关人等。</w:t>
      </w:r>
    </w:p>
    <w:p>
      <w:pPr>
        <w:pStyle w:val="29"/>
        <w:numPr>
          <w:ilvl w:val="0"/>
          <w:numId w:val="3"/>
        </w:numPr>
        <w:ind w:firstLineChars="0"/>
        <w:rPr>
          <w:rFonts w:hint="eastAsia"/>
        </w:rPr>
      </w:pPr>
      <w:r>
        <w:rPr>
          <w:rFonts w:hint="eastAsia"/>
        </w:rPr>
        <w:t>招标方在报名投标成功的前提下招标方可向其提供项目建设区域平面图，</w:t>
      </w:r>
      <w:r>
        <w:rPr>
          <w:rFonts w:hint="eastAsia"/>
          <w:lang w:val="zh-CN"/>
        </w:rPr>
        <w:t>招标方对投标方的现场踏勘和信息收集工作给予配合。</w:t>
      </w:r>
    </w:p>
    <w:p>
      <w:pPr>
        <w:pStyle w:val="2"/>
        <w:spacing w:before="120" w:after="120"/>
        <w:jc w:val="left"/>
        <w:rPr>
          <w:sz w:val="28"/>
          <w:szCs w:val="28"/>
        </w:rPr>
      </w:pPr>
      <w:bookmarkStart w:id="14" w:name="_Toc40703153"/>
      <w:bookmarkStart w:id="15" w:name="_Toc31894"/>
      <w:r>
        <w:rPr>
          <w:rFonts w:hint="eastAsia"/>
          <w:sz w:val="28"/>
          <w:szCs w:val="28"/>
          <w:lang w:val="en-US" w:eastAsia="zh-CN"/>
        </w:rPr>
        <w:t>三、</w:t>
      </w:r>
      <w:r>
        <w:rPr>
          <w:rFonts w:hint="eastAsia"/>
          <w:sz w:val="28"/>
          <w:szCs w:val="28"/>
        </w:rPr>
        <w:t>技术要求及说明</w:t>
      </w:r>
      <w:bookmarkEnd w:id="14"/>
      <w:bookmarkEnd w:id="15"/>
    </w:p>
    <w:p>
      <w:pPr>
        <w:ind w:firstLine="640"/>
        <w:rPr>
          <w:sz w:val="24"/>
          <w:szCs w:val="22"/>
        </w:rPr>
      </w:pPr>
      <w:bookmarkStart w:id="16" w:name="_Toc40703154"/>
      <w:r>
        <w:rPr>
          <w:sz w:val="24"/>
          <w:szCs w:val="22"/>
        </w:rPr>
        <w:t>本维保项目要求维保方</w:t>
      </w:r>
      <w:r>
        <w:rPr>
          <w:rFonts w:hint="eastAsia"/>
          <w:sz w:val="24"/>
          <w:szCs w:val="22"/>
        </w:rPr>
        <w:t>对维保范围内各子系统具有</w:t>
      </w:r>
      <w:r>
        <w:rPr>
          <w:sz w:val="24"/>
          <w:szCs w:val="22"/>
        </w:rPr>
        <w:t>提供技术咨询</w:t>
      </w:r>
      <w:r>
        <w:rPr>
          <w:rFonts w:hint="eastAsia"/>
          <w:sz w:val="24"/>
          <w:szCs w:val="22"/>
          <w:lang w:eastAsia="zh-CN"/>
        </w:rPr>
        <w:t>、</w:t>
      </w:r>
      <w:r>
        <w:rPr>
          <w:sz w:val="24"/>
          <w:szCs w:val="22"/>
        </w:rPr>
        <w:t>培训</w:t>
      </w:r>
      <w:r>
        <w:rPr>
          <w:rFonts w:hint="eastAsia"/>
          <w:sz w:val="24"/>
          <w:szCs w:val="22"/>
          <w:lang w:eastAsia="zh-CN"/>
        </w:rPr>
        <w:t>、</w:t>
      </w:r>
      <w:r>
        <w:rPr>
          <w:sz w:val="24"/>
          <w:szCs w:val="22"/>
        </w:rPr>
        <w:t>设备及系统故障调试、维修的人力、物质资源</w:t>
      </w:r>
      <w:r>
        <w:rPr>
          <w:rFonts w:hint="eastAsia"/>
          <w:sz w:val="24"/>
          <w:szCs w:val="22"/>
        </w:rPr>
        <w:t>的能力。投标人必须结合本项目</w:t>
      </w:r>
      <w:r>
        <w:rPr>
          <w:rFonts w:hint="eastAsia"/>
          <w:sz w:val="24"/>
          <w:szCs w:val="22"/>
          <w:lang w:val="en-US" w:eastAsia="zh-CN"/>
        </w:rPr>
        <w:t>发生维保事件请求</w:t>
      </w:r>
      <w:r>
        <w:rPr>
          <w:rFonts w:hint="eastAsia"/>
          <w:sz w:val="24"/>
          <w:szCs w:val="22"/>
        </w:rPr>
        <w:t>及各方面要求作出对应的维保方案，同时对维保方案可执行性负责。</w:t>
      </w:r>
    </w:p>
    <w:bookmarkEnd w:id="16"/>
    <w:p>
      <w:pPr>
        <w:pStyle w:val="3"/>
        <w:rPr>
          <w:rFonts w:hint="default"/>
          <w:highlight w:val="none"/>
          <w:lang w:val="en-US" w:eastAsia="zh-CN"/>
        </w:rPr>
      </w:pPr>
      <w:bookmarkStart w:id="17" w:name="_Toc15855"/>
      <w:r>
        <w:rPr>
          <w:rFonts w:hint="eastAsia"/>
          <w:highlight w:val="none"/>
          <w:lang w:val="en-US" w:eastAsia="zh-CN"/>
        </w:rPr>
        <w:t>3.1人力资源要求</w:t>
      </w:r>
      <w:bookmarkEnd w:id="17"/>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425" w:firstLineChars="0"/>
        <w:textAlignment w:val="auto"/>
        <w:rPr>
          <w:rFonts w:hint="eastAsia" w:ascii="仿宋_GB2312" w:hAnsi="仿宋_GB2312" w:eastAsia="仿宋_GB2312" w:cs="仿宋_GB2312"/>
          <w:sz w:val="24"/>
          <w:szCs w:val="22"/>
        </w:rPr>
      </w:pPr>
      <w:r>
        <w:rPr>
          <w:rFonts w:hint="eastAsia" w:ascii="仿宋_GB2312" w:hAnsi="仿宋_GB2312" w:cs="仿宋_GB2312"/>
          <w:sz w:val="24"/>
          <w:szCs w:val="22"/>
          <w:lang w:val="en-US" w:eastAsia="zh-CN"/>
        </w:rPr>
        <w:t>服务</w:t>
      </w:r>
      <w:r>
        <w:rPr>
          <w:rFonts w:hint="eastAsia" w:ascii="仿宋_GB2312" w:hAnsi="仿宋_GB2312" w:eastAsia="仿宋_GB2312" w:cs="仿宋_GB2312"/>
          <w:sz w:val="24"/>
          <w:szCs w:val="22"/>
          <w:lang w:val="en-US" w:eastAsia="zh-CN"/>
        </w:rPr>
        <w:t>团队要求：投标方为本项目成立专门的项目组</w:t>
      </w:r>
      <w:r>
        <w:rPr>
          <w:rFonts w:hint="eastAsia" w:ascii="仿宋_GB2312" w:hAnsi="仿宋_GB2312" w:cs="仿宋_GB2312"/>
          <w:sz w:val="24"/>
          <w:szCs w:val="22"/>
          <w:lang w:val="en-US" w:eastAsia="zh-CN"/>
        </w:rPr>
        <w:t>，</w:t>
      </w:r>
      <w:r>
        <w:rPr>
          <w:rFonts w:hint="eastAsia" w:ascii="仿宋_GB2312" w:hAnsi="仿宋_GB2312" w:eastAsia="仿宋_GB2312" w:cs="仿宋_GB2312"/>
          <w:sz w:val="24"/>
          <w:szCs w:val="22"/>
          <w:lang w:val="en-US" w:eastAsia="zh-CN"/>
        </w:rPr>
        <w:t>小组成员至少 3 人，并任命项目负责人。</w:t>
      </w:r>
      <w:r>
        <w:rPr>
          <w:rFonts w:hint="eastAsia" w:ascii="仿宋_GB2312" w:hAnsi="仿宋_GB2312" w:cs="仿宋_GB2312"/>
          <w:sz w:val="24"/>
          <w:szCs w:val="22"/>
          <w:lang w:val="en-US" w:eastAsia="zh-CN"/>
        </w:rPr>
        <w:t>团队</w:t>
      </w:r>
      <w:r>
        <w:rPr>
          <w:rFonts w:hint="eastAsia" w:ascii="仿宋_GB2312" w:hAnsi="仿宋_GB2312" w:eastAsia="仿宋_GB2312" w:cs="仿宋_GB2312"/>
          <w:sz w:val="24"/>
          <w:szCs w:val="22"/>
          <w:lang w:val="en-US" w:eastAsia="zh-CN"/>
        </w:rPr>
        <w:t>人员需遵守招标方管理制度</w:t>
      </w:r>
      <w:r>
        <w:rPr>
          <w:rFonts w:hint="eastAsia" w:ascii="仿宋_GB2312" w:hAnsi="仿宋_GB2312" w:cs="仿宋_GB2312"/>
          <w:sz w:val="24"/>
          <w:szCs w:val="22"/>
          <w:lang w:val="en-US" w:eastAsia="zh-CN"/>
        </w:rPr>
        <w:t>，</w:t>
      </w:r>
      <w:r>
        <w:rPr>
          <w:rFonts w:hint="eastAsia" w:ascii="仿宋_GB2312" w:hAnsi="仿宋_GB2312" w:eastAsia="仿宋_GB2312" w:cs="仿宋_GB2312"/>
          <w:sz w:val="24"/>
          <w:szCs w:val="22"/>
          <w:lang w:val="en-US" w:eastAsia="zh-CN"/>
        </w:rPr>
        <w:t xml:space="preserve">遵守招标方保密规定，接受招标方日常工作管理。服务期间如有人员变更，须经招标方同意，新老人员并行工作一个月后方可调换。 </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425" w:firstLineChars="0"/>
        <w:textAlignment w:val="auto"/>
        <w:rPr>
          <w:rFonts w:hint="eastAsia" w:ascii="仿宋_GB2312" w:hAnsi="仿宋_GB2312" w:eastAsia="仿宋_GB2312" w:cs="仿宋_GB2312"/>
          <w:sz w:val="24"/>
          <w:szCs w:val="22"/>
        </w:rPr>
      </w:pPr>
      <w:r>
        <w:rPr>
          <w:rFonts w:hint="eastAsia" w:ascii="仿宋_GB2312" w:hAnsi="仿宋_GB2312" w:cs="仿宋_GB2312"/>
          <w:sz w:val="24"/>
          <w:szCs w:val="22"/>
          <w:lang w:val="en-US" w:eastAsia="zh-CN"/>
        </w:rPr>
        <w:t>服务</w:t>
      </w:r>
      <w:r>
        <w:rPr>
          <w:rFonts w:hint="eastAsia" w:ascii="仿宋_GB2312" w:hAnsi="仿宋_GB2312" w:eastAsia="仿宋_GB2312" w:cs="仿宋_GB2312"/>
          <w:sz w:val="24"/>
          <w:szCs w:val="22"/>
          <w:lang w:val="en-US" w:eastAsia="zh-CN"/>
        </w:rPr>
        <w:t>人员</w:t>
      </w:r>
      <w:r>
        <w:rPr>
          <w:rFonts w:hint="eastAsia" w:ascii="仿宋_GB2312" w:hAnsi="仿宋_GB2312" w:cs="仿宋_GB2312"/>
          <w:sz w:val="24"/>
          <w:szCs w:val="22"/>
          <w:lang w:val="en-US" w:eastAsia="zh-CN"/>
        </w:rPr>
        <w:t>要求</w:t>
      </w:r>
      <w:r>
        <w:rPr>
          <w:rFonts w:hint="eastAsia" w:ascii="仿宋_GB2312" w:hAnsi="仿宋_GB2312" w:eastAsia="仿宋_GB2312" w:cs="仿宋_GB2312"/>
          <w:sz w:val="24"/>
          <w:szCs w:val="22"/>
          <w:lang w:val="en-US" w:eastAsia="zh-CN"/>
        </w:rPr>
        <w:t>：投标方承诺安排到招标方工作场所提供现场支持服务的现场工程师，需具有 5 年或以上</w:t>
      </w:r>
      <w:r>
        <w:rPr>
          <w:rFonts w:hint="eastAsia" w:ascii="仿宋_GB2312" w:hAnsi="仿宋_GB2312" w:cs="仿宋_GB2312"/>
          <w:sz w:val="24"/>
          <w:szCs w:val="22"/>
          <w:lang w:val="en-US" w:eastAsia="zh-CN"/>
        </w:rPr>
        <w:t>相关</w:t>
      </w:r>
      <w:r>
        <w:rPr>
          <w:rFonts w:hint="eastAsia" w:ascii="仿宋_GB2312" w:hAnsi="仿宋_GB2312" w:eastAsia="仿宋_GB2312" w:cs="仿宋_GB2312"/>
          <w:sz w:val="24"/>
          <w:szCs w:val="22"/>
          <w:lang w:val="en-US" w:eastAsia="zh-CN"/>
        </w:rPr>
        <w:t>工作经验，</w:t>
      </w:r>
      <w:r>
        <w:rPr>
          <w:rFonts w:hint="eastAsia" w:ascii="仿宋_GB2312" w:hAnsi="仿宋_GB2312" w:cs="仿宋_GB2312"/>
          <w:sz w:val="24"/>
          <w:szCs w:val="22"/>
          <w:lang w:val="en-US" w:eastAsia="zh-CN"/>
        </w:rPr>
        <w:t>相应作业人员具备从业资格证书，如登高证、电工证、焊工证等。</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425" w:firstLineChars="0"/>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招标方有权根据</w:t>
      </w:r>
      <w:r>
        <w:rPr>
          <w:rFonts w:hint="eastAsia" w:ascii="仿宋_GB2312" w:hAnsi="仿宋_GB2312" w:cs="仿宋_GB2312"/>
          <w:sz w:val="24"/>
          <w:szCs w:val="22"/>
          <w:lang w:val="en-US" w:eastAsia="zh-CN"/>
        </w:rPr>
        <w:t>现场人员</w:t>
      </w:r>
      <w:r>
        <w:rPr>
          <w:rFonts w:hint="eastAsia" w:ascii="仿宋_GB2312" w:hAnsi="仿宋_GB2312" w:eastAsia="仿宋_GB2312" w:cs="仿宋_GB2312"/>
          <w:sz w:val="24"/>
          <w:szCs w:val="22"/>
          <w:lang w:val="en-US" w:eastAsia="zh-CN"/>
        </w:rPr>
        <w:t xml:space="preserve">服务情况要求更换现场工程师。 </w:t>
      </w:r>
    </w:p>
    <w:p>
      <w:pPr>
        <w:pStyle w:val="3"/>
      </w:pPr>
      <w:bookmarkStart w:id="18" w:name="_Toc40703155"/>
      <w:bookmarkStart w:id="19" w:name="_Toc29287"/>
      <w:bookmarkStart w:id="20" w:name="_Toc40703157"/>
      <w:r>
        <w:rPr>
          <w:rFonts w:hint="eastAsia"/>
          <w:lang w:val="en-US" w:eastAsia="zh-CN"/>
        </w:rPr>
        <w:t>3.2</w:t>
      </w:r>
      <w:r>
        <w:t>备品备件</w:t>
      </w:r>
      <w:r>
        <w:rPr>
          <w:rFonts w:hint="eastAsia"/>
          <w:lang w:eastAsia="zh-CN"/>
        </w:rPr>
        <w:t>要求</w:t>
      </w:r>
      <w:bookmarkEnd w:id="18"/>
      <w:bookmarkEnd w:id="19"/>
    </w:p>
    <w:p>
      <w:pPr>
        <w:spacing w:before="120" w:after="120"/>
        <w:ind w:firstLine="64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投标人具备为本项目准备7*24H备品备件库的能力，包括本项目中所有系统涵盖的软件系统、设备及其附件、线材、工具设备；针对不同级别的事件具有提供相应等级服务的能力及备品备件方案。所投备品备件须与维保范围系统相匹配，且至少满足维保项目清单参数要求。</w:t>
      </w:r>
    </w:p>
    <w:p>
      <w:pPr>
        <w:spacing w:before="120" w:after="120"/>
        <w:ind w:firstLine="640"/>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维修如存在更换备件，该备件须具备一年质保服务。</w:t>
      </w:r>
    </w:p>
    <w:p>
      <w:pPr>
        <w:spacing w:before="120" w:after="120"/>
        <w:ind w:firstLine="640"/>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 xml:space="preserve">项目涉及的备件到货运输及临时存放等问题由投标方解决。 </w:t>
      </w:r>
    </w:p>
    <w:p>
      <w:pPr>
        <w:pStyle w:val="3"/>
      </w:pPr>
      <w:bookmarkStart w:id="21" w:name="_Toc13485"/>
      <w:r>
        <w:rPr>
          <w:rFonts w:hint="eastAsia"/>
          <w:lang w:val="en-US" w:eastAsia="zh-CN"/>
        </w:rPr>
        <w:t>3.3</w:t>
      </w:r>
      <w:r>
        <w:t>报修响应</w:t>
      </w:r>
      <w:r>
        <w:rPr>
          <w:rFonts w:hint="eastAsia"/>
        </w:rPr>
        <w:t>要求</w:t>
      </w:r>
      <w:bookmarkEnd w:id="20"/>
      <w:bookmarkEnd w:id="21"/>
    </w:p>
    <w:p>
      <w:pPr>
        <w:spacing w:before="120" w:after="120"/>
        <w:ind w:firstLine="640"/>
      </w:pPr>
      <w:r>
        <w:rPr>
          <w:rFonts w:hint="eastAsia" w:ascii="仿宋_GB2312" w:hAnsi="仿宋_GB2312" w:cs="仿宋_GB2312"/>
          <w:sz w:val="24"/>
          <w:szCs w:val="21"/>
          <w:lang w:val="en-US" w:eastAsia="zh-CN"/>
        </w:rPr>
        <w:t>特殊事项支持：招标方有重大活动、重大节假日应急保障等需要时，投标方应按需响应支持，在规定的时间内提供充足的技术人员、备用设备等资源，为招标方提供紧急现场支持。维保服务提供现场支持前，应做好必要的准备（包括查阅客户和设备档案，了解设备运行情况及设备以往所发生过的问题及处理办法等），并按照方案要求进行实施。</w:t>
      </w:r>
    </w:p>
    <w:p>
      <w:pPr>
        <w:spacing w:before="120" w:after="120"/>
        <w:ind w:firstLine="640"/>
        <w:rPr>
          <w:rFonts w:hint="eastAsia" w:ascii="仿宋_GB2312" w:hAnsi="仿宋_GB2312" w:eastAsia="仿宋_GB2312" w:cs="仿宋_GB2312"/>
          <w:sz w:val="24"/>
          <w:szCs w:val="21"/>
        </w:rPr>
      </w:pPr>
      <w:r>
        <w:rPr>
          <w:rFonts w:hint="eastAsia" w:ascii="仿宋_GB2312" w:hAnsi="仿宋_GB2312" w:cs="仿宋_GB2312"/>
          <w:sz w:val="24"/>
          <w:szCs w:val="21"/>
          <w:lang w:val="en-US" w:eastAsia="zh-CN"/>
        </w:rPr>
        <w:t>电话支持</w:t>
      </w:r>
      <w:r>
        <w:rPr>
          <w:rFonts w:hint="eastAsia" w:ascii="仿宋_GB2312" w:hAnsi="仿宋_GB2312" w:eastAsia="仿宋_GB2312" w:cs="仿宋_GB2312"/>
          <w:sz w:val="24"/>
          <w:szCs w:val="21"/>
        </w:rPr>
        <w:t>：7*24H电话响应</w:t>
      </w:r>
      <w:r>
        <w:rPr>
          <w:rFonts w:hint="eastAsia" w:ascii="仿宋_GB2312" w:hAnsi="仿宋_GB2312" w:cs="仿宋_GB2312"/>
          <w:sz w:val="24"/>
          <w:szCs w:val="21"/>
          <w:lang w:eastAsia="zh-CN"/>
        </w:rPr>
        <w:t>、</w:t>
      </w:r>
      <w:r>
        <w:rPr>
          <w:rFonts w:hint="eastAsia" w:ascii="仿宋_GB2312" w:hAnsi="仿宋_GB2312" w:eastAsia="仿宋_GB2312" w:cs="仿宋_GB2312"/>
          <w:sz w:val="24"/>
          <w:szCs w:val="21"/>
        </w:rPr>
        <w:t>电话指导。</w:t>
      </w:r>
    </w:p>
    <w:p>
      <w:pPr>
        <w:spacing w:before="120" w:after="120"/>
        <w:ind w:firstLine="640"/>
        <w:rPr>
          <w:rFonts w:hint="eastAsia" w:ascii="仿宋_GB2312" w:hAnsi="仿宋_GB2312" w:eastAsia="仿宋_GB2312" w:cs="仿宋_GB2312"/>
          <w:sz w:val="24"/>
          <w:szCs w:val="21"/>
          <w:lang w:eastAsia="zh-CN"/>
        </w:rPr>
      </w:pPr>
      <w:r>
        <w:rPr>
          <w:rFonts w:hint="eastAsia" w:ascii="仿宋_GB2312" w:hAnsi="仿宋_GB2312" w:eastAsia="仿宋_GB2312" w:cs="仿宋_GB2312"/>
          <w:sz w:val="24"/>
          <w:szCs w:val="21"/>
        </w:rPr>
        <w:t>远程支持</w:t>
      </w:r>
      <w:r>
        <w:rPr>
          <w:rFonts w:hint="eastAsia" w:ascii="仿宋_GB2312" w:hAnsi="仿宋_GB2312" w:cs="仿宋_GB2312"/>
          <w:sz w:val="24"/>
          <w:szCs w:val="21"/>
          <w:lang w:eastAsia="zh-CN"/>
        </w:rPr>
        <w:t>：</w:t>
      </w:r>
      <w:r>
        <w:rPr>
          <w:rFonts w:hint="eastAsia" w:ascii="仿宋_GB2312" w:hAnsi="仿宋_GB2312" w:cs="仿宋_GB2312"/>
          <w:sz w:val="24"/>
          <w:szCs w:val="21"/>
          <w:lang w:val="en-US" w:eastAsia="zh-CN"/>
        </w:rPr>
        <w:t>7</w:t>
      </w:r>
      <w:r>
        <w:rPr>
          <w:rFonts w:hint="eastAsia" w:ascii="仿宋_GB2312" w:hAnsi="仿宋_GB2312" w:eastAsia="仿宋_GB2312" w:cs="仿宋_GB2312"/>
          <w:sz w:val="24"/>
          <w:szCs w:val="21"/>
        </w:rPr>
        <w:t>*</w:t>
      </w:r>
      <w:r>
        <w:rPr>
          <w:rFonts w:hint="eastAsia" w:ascii="仿宋_GB2312" w:hAnsi="仿宋_GB2312" w:cs="仿宋_GB2312"/>
          <w:sz w:val="24"/>
          <w:szCs w:val="21"/>
          <w:lang w:val="en-US" w:eastAsia="zh-CN"/>
        </w:rPr>
        <w:t>24</w:t>
      </w:r>
      <w:r>
        <w:rPr>
          <w:rFonts w:hint="eastAsia" w:ascii="仿宋_GB2312" w:hAnsi="仿宋_GB2312" w:eastAsia="仿宋_GB2312" w:cs="仿宋_GB2312"/>
          <w:sz w:val="24"/>
          <w:szCs w:val="21"/>
        </w:rPr>
        <w:t>H远程技术</w:t>
      </w:r>
      <w:r>
        <w:rPr>
          <w:rFonts w:hint="eastAsia" w:ascii="仿宋_GB2312" w:hAnsi="仿宋_GB2312" w:cs="仿宋_GB2312"/>
          <w:sz w:val="24"/>
          <w:szCs w:val="21"/>
          <w:lang w:val="en-US" w:eastAsia="zh-CN"/>
        </w:rPr>
        <w:t>支持</w:t>
      </w:r>
      <w:r>
        <w:rPr>
          <w:rFonts w:hint="eastAsia" w:ascii="仿宋_GB2312" w:hAnsi="仿宋_GB2312" w:cs="仿宋_GB2312"/>
          <w:sz w:val="24"/>
          <w:szCs w:val="21"/>
          <w:lang w:eastAsia="zh-CN"/>
        </w:rPr>
        <w:t>。</w:t>
      </w:r>
    </w:p>
    <w:p>
      <w:pPr>
        <w:spacing w:before="120" w:after="120"/>
        <w:ind w:firstLine="64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现场支持：</w:t>
      </w:r>
      <w:r>
        <w:rPr>
          <w:rFonts w:hint="eastAsia" w:ascii="仿宋_GB2312" w:hAnsi="仿宋_GB2312" w:cs="仿宋_GB2312"/>
          <w:sz w:val="24"/>
          <w:szCs w:val="22"/>
          <w:lang w:val="en-US" w:eastAsia="zh-CN"/>
        </w:rPr>
        <w:t>一</w:t>
      </w:r>
      <w:r>
        <w:rPr>
          <w:rFonts w:hint="eastAsia" w:ascii="仿宋_GB2312" w:hAnsi="仿宋_GB2312" w:eastAsia="仿宋_GB2312" w:cs="仿宋_GB2312"/>
          <w:sz w:val="24"/>
          <w:szCs w:val="22"/>
        </w:rPr>
        <w:t>级故障2小时内达现场；</w:t>
      </w:r>
      <w:r>
        <w:rPr>
          <w:rFonts w:hint="eastAsia" w:ascii="仿宋_GB2312" w:hAnsi="仿宋_GB2312" w:cs="仿宋_GB2312"/>
          <w:sz w:val="24"/>
          <w:szCs w:val="22"/>
          <w:lang w:val="en-US" w:eastAsia="zh-CN"/>
        </w:rPr>
        <w:t>二</w:t>
      </w:r>
      <w:r>
        <w:rPr>
          <w:rFonts w:hint="eastAsia" w:ascii="仿宋_GB2312" w:hAnsi="仿宋_GB2312" w:eastAsia="仿宋_GB2312" w:cs="仿宋_GB2312"/>
          <w:sz w:val="24"/>
          <w:szCs w:val="22"/>
        </w:rPr>
        <w:t>级故障4小时内到达现场，</w:t>
      </w:r>
      <w:r>
        <w:rPr>
          <w:rFonts w:hint="eastAsia" w:ascii="仿宋_GB2312" w:hAnsi="仿宋_GB2312" w:cs="仿宋_GB2312"/>
          <w:sz w:val="24"/>
          <w:szCs w:val="22"/>
          <w:lang w:val="en-US" w:eastAsia="zh-CN"/>
        </w:rPr>
        <w:t>三</w:t>
      </w:r>
      <w:r>
        <w:rPr>
          <w:rFonts w:hint="eastAsia" w:ascii="仿宋_GB2312" w:hAnsi="仿宋_GB2312" w:eastAsia="仿宋_GB2312" w:cs="仿宋_GB2312"/>
          <w:sz w:val="24"/>
          <w:szCs w:val="22"/>
        </w:rPr>
        <w:t>般等级故障8小时内到达现场。</w:t>
      </w:r>
    </w:p>
    <w:p>
      <w:pPr>
        <w:spacing w:before="120" w:after="120"/>
        <w:ind w:firstLine="640"/>
        <w:rPr>
          <w:rFonts w:hint="default" w:ascii="仿宋_GB2312" w:hAnsi="仿宋_GB2312" w:eastAsia="仿宋_GB2312" w:cs="仿宋_GB2312"/>
          <w:sz w:val="24"/>
          <w:szCs w:val="22"/>
          <w:lang w:val="en-US" w:eastAsia="zh-CN"/>
        </w:rPr>
      </w:pPr>
      <w:r>
        <w:rPr>
          <w:rFonts w:hint="eastAsia" w:ascii="仿宋_GB2312" w:hAnsi="仿宋_GB2312" w:cs="仿宋_GB2312"/>
          <w:sz w:val="24"/>
          <w:szCs w:val="22"/>
          <w:lang w:val="en-US" w:eastAsia="zh-CN"/>
        </w:rPr>
        <w:t>服务级别：</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1937"/>
        <w:gridCol w:w="6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77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color w:val="000000"/>
                <w:kern w:val="0"/>
                <w:sz w:val="24"/>
                <w:szCs w:val="24"/>
                <w:lang w:val="en-US" w:eastAsia="zh-CN" w:bidi="ar"/>
              </w:rPr>
              <w:t>故障级别</w:t>
            </w:r>
          </w:p>
        </w:tc>
        <w:tc>
          <w:tcPr>
            <w:tcW w:w="98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color w:val="000000"/>
                <w:kern w:val="0"/>
                <w:sz w:val="24"/>
                <w:szCs w:val="24"/>
                <w:lang w:val="en-US" w:eastAsia="zh-CN" w:bidi="ar"/>
              </w:rPr>
              <w:t>解决时间</w:t>
            </w:r>
          </w:p>
        </w:tc>
        <w:tc>
          <w:tcPr>
            <w:tcW w:w="3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color w:val="000000"/>
                <w:kern w:val="0"/>
                <w:sz w:val="24"/>
                <w:szCs w:val="24"/>
                <w:lang w:val="en-US" w:eastAsia="zh-CN" w:bidi="ar"/>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7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一级故障</w:t>
            </w:r>
          </w:p>
        </w:tc>
        <w:tc>
          <w:tcPr>
            <w:tcW w:w="98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≤4 小时</w:t>
            </w:r>
          </w:p>
        </w:tc>
        <w:tc>
          <w:tcPr>
            <w:tcW w:w="3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设备或配套软件在运行中出现系统瘫痪或服务中断，导致设备的基本功能不能实现；其他造成业务中断 1 小时以上或导致关键业务数据丢失的故障。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7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二级故障</w:t>
            </w:r>
          </w:p>
        </w:tc>
        <w:tc>
          <w:tcPr>
            <w:tcW w:w="98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≤6 小时</w:t>
            </w:r>
          </w:p>
        </w:tc>
        <w:tc>
          <w:tcPr>
            <w:tcW w:w="3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设备或配套软件的能力部分丧失；潜在系统瘫痪或者中断风险的；设备故障，造成部分非关键业务中断。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7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三级故障</w:t>
            </w:r>
          </w:p>
        </w:tc>
        <w:tc>
          <w:tcPr>
            <w:tcW w:w="98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≤12 小时</w:t>
            </w:r>
          </w:p>
        </w:tc>
        <w:tc>
          <w:tcPr>
            <w:tcW w:w="32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设备或配套软件在运行过程中出现的，影响系统功能和性能，但关键业务不受影响的故障。</w:t>
            </w:r>
          </w:p>
        </w:tc>
      </w:tr>
    </w:tbl>
    <w:p>
      <w:pPr>
        <w:pStyle w:val="3"/>
        <w:rPr>
          <w:lang w:eastAsia="zh-CN"/>
        </w:rPr>
      </w:pPr>
      <w:bookmarkStart w:id="22" w:name="_Toc13119"/>
      <w:bookmarkStart w:id="23" w:name="_Toc40703158"/>
      <w:r>
        <w:rPr>
          <w:rFonts w:hint="eastAsia"/>
          <w:lang w:val="en-US" w:eastAsia="zh-CN"/>
        </w:rPr>
        <w:t>3.4</w:t>
      </w:r>
      <w:r>
        <w:rPr>
          <w:rFonts w:hint="eastAsia"/>
          <w:lang w:eastAsia="zh-CN"/>
        </w:rPr>
        <w:t>维</w:t>
      </w:r>
      <w:r>
        <w:rPr>
          <w:lang w:eastAsia="zh-CN"/>
        </w:rPr>
        <w:t>保</w:t>
      </w:r>
      <w:r>
        <w:t>服务</w:t>
      </w:r>
      <w:r>
        <w:rPr>
          <w:rFonts w:hint="eastAsia"/>
          <w:lang w:eastAsia="zh-CN"/>
        </w:rPr>
        <w:t>要求</w:t>
      </w:r>
      <w:bookmarkEnd w:id="22"/>
      <w:bookmarkEnd w:id="23"/>
    </w:p>
    <w:p>
      <w:pPr>
        <w:spacing w:before="120" w:after="120"/>
        <w:ind w:firstLine="640"/>
        <w:rPr>
          <w:sz w:val="24"/>
          <w:szCs w:val="22"/>
        </w:rPr>
      </w:pPr>
      <w:r>
        <w:rPr>
          <w:rFonts w:hint="eastAsia"/>
          <w:sz w:val="24"/>
          <w:szCs w:val="22"/>
        </w:rPr>
        <w:t>维修服务过程中，维保服务商要向招标方说明设备故障的原因，具体损坏的部件，提出得到招标方认可的最佳解决方案。</w:t>
      </w:r>
    </w:p>
    <w:p>
      <w:pPr>
        <w:spacing w:before="120" w:after="120"/>
        <w:ind w:firstLine="640"/>
        <w:rPr>
          <w:sz w:val="24"/>
          <w:szCs w:val="22"/>
        </w:rPr>
      </w:pPr>
      <w:r>
        <w:rPr>
          <w:rFonts w:hint="eastAsia"/>
          <w:sz w:val="24"/>
          <w:szCs w:val="22"/>
        </w:rPr>
        <w:t>故障处理要求恢复到之前水平，不能只是缓解，或者改善，必须完全解决；若遇到特殊情况，重大故障处理须形成书面解决方案和报告，短时内无法处理完成的事件须向招标方报告且给出理由、解决方案、时间节点。</w:t>
      </w:r>
    </w:p>
    <w:p>
      <w:pPr>
        <w:spacing w:before="120" w:after="120"/>
        <w:ind w:firstLine="640"/>
        <w:rPr>
          <w:sz w:val="24"/>
          <w:szCs w:val="22"/>
        </w:rPr>
      </w:pPr>
      <w:r>
        <w:rPr>
          <w:rFonts w:hint="eastAsia"/>
          <w:sz w:val="24"/>
          <w:szCs w:val="22"/>
        </w:rPr>
        <w:t>所有保养、维修、整改类施工作业必须按照招标方管理规定执行，施工工艺满足招标方管理要求以及行业标准。</w:t>
      </w:r>
    </w:p>
    <w:p>
      <w:pPr>
        <w:spacing w:before="120" w:after="120"/>
        <w:ind w:firstLine="640"/>
        <w:rPr>
          <w:sz w:val="24"/>
          <w:szCs w:val="22"/>
        </w:rPr>
      </w:pPr>
      <w:r>
        <w:rPr>
          <w:rFonts w:hint="eastAsia"/>
          <w:sz w:val="24"/>
          <w:szCs w:val="22"/>
        </w:rPr>
        <w:t>维保方在招标方对系统进行升级、扩容</w:t>
      </w:r>
      <w:r>
        <w:rPr>
          <w:rFonts w:hint="eastAsia"/>
          <w:sz w:val="24"/>
          <w:szCs w:val="22"/>
          <w:lang w:eastAsia="zh-CN"/>
        </w:rPr>
        <w:t>、</w:t>
      </w:r>
      <w:r>
        <w:rPr>
          <w:rFonts w:hint="eastAsia"/>
          <w:sz w:val="24"/>
          <w:szCs w:val="22"/>
          <w:lang w:val="en-US" w:eastAsia="zh-CN"/>
        </w:rPr>
        <w:t>重大及紧急事件处理</w:t>
      </w:r>
      <w:r>
        <w:rPr>
          <w:rFonts w:hint="eastAsia"/>
          <w:sz w:val="24"/>
          <w:szCs w:val="22"/>
        </w:rPr>
        <w:t>等活动中必须</w:t>
      </w:r>
      <w:r>
        <w:rPr>
          <w:rFonts w:hint="eastAsia"/>
          <w:sz w:val="24"/>
          <w:szCs w:val="22"/>
          <w:lang w:val="en-US" w:eastAsia="zh-CN"/>
        </w:rPr>
        <w:t>即时</w:t>
      </w:r>
      <w:r>
        <w:rPr>
          <w:rFonts w:hint="eastAsia"/>
          <w:sz w:val="24"/>
          <w:szCs w:val="22"/>
        </w:rPr>
        <w:t>提供配合相关技术支持工作，包括提供相关记录资料、现场支持和远程支持。</w:t>
      </w:r>
    </w:p>
    <w:p>
      <w:pPr>
        <w:pStyle w:val="3"/>
        <w:bidi w:val="0"/>
      </w:pPr>
      <w:bookmarkStart w:id="24" w:name="_Toc31242"/>
      <w:bookmarkStart w:id="25" w:name="_Toc419106401"/>
      <w:bookmarkStart w:id="26" w:name="_Toc40703163"/>
      <w:r>
        <w:rPr>
          <w:rFonts w:hint="eastAsia"/>
          <w:lang w:val="en-US" w:eastAsia="zh-CN"/>
        </w:rPr>
        <w:t>3.5</w:t>
      </w:r>
      <w:r>
        <w:t>维护项清单</w:t>
      </w:r>
      <w:bookmarkEnd w:id="24"/>
    </w:p>
    <w:tbl>
      <w:tblPr>
        <w:tblStyle w:val="1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21"/>
        <w:gridCol w:w="1775"/>
        <w:gridCol w:w="1848"/>
        <w:gridCol w:w="1319"/>
        <w:gridCol w:w="4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55" w:hRule="atLeast"/>
        </w:trPr>
        <w:tc>
          <w:tcPr>
            <w:tcW w:w="1317" w:type="pct"/>
            <w:gridSpan w:val="2"/>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一、综合布线</w:t>
            </w:r>
          </w:p>
        </w:tc>
        <w:tc>
          <w:tcPr>
            <w:tcW w:w="937" w:type="pct"/>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b/>
                <w:bCs/>
                <w:i w:val="0"/>
                <w:iCs w:val="0"/>
                <w:color w:val="000000"/>
                <w:sz w:val="21"/>
                <w:szCs w:val="21"/>
                <w:u w:val="none"/>
              </w:rPr>
            </w:pPr>
          </w:p>
        </w:tc>
        <w:tc>
          <w:tcPr>
            <w:tcW w:w="669" w:type="pct"/>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b/>
                <w:bCs/>
                <w:i w:val="0"/>
                <w:iCs w:val="0"/>
                <w:color w:val="000000"/>
                <w:sz w:val="21"/>
                <w:szCs w:val="21"/>
                <w:u w:val="none"/>
              </w:rPr>
            </w:pPr>
          </w:p>
        </w:tc>
        <w:tc>
          <w:tcPr>
            <w:tcW w:w="2075" w:type="pct"/>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b/>
                <w:bCs/>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1"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序号</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项目</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b/>
                <w:bCs/>
                <w:i w:val="0"/>
                <w:iCs w:val="0"/>
                <w:color w:val="000000"/>
                <w:sz w:val="21"/>
                <w:szCs w:val="21"/>
                <w:u w:val="none"/>
                <w:lang w:val="en-US"/>
              </w:rPr>
            </w:pPr>
            <w:r>
              <w:rPr>
                <w:rFonts w:hint="eastAsia" w:ascii="仿宋_GB2312" w:hAnsi="仿宋_GB2312" w:eastAsia="仿宋_GB2312" w:cs="仿宋_GB2312"/>
                <w:b/>
                <w:bCs/>
                <w:i w:val="0"/>
                <w:iCs w:val="0"/>
                <w:color w:val="000000"/>
                <w:kern w:val="0"/>
                <w:sz w:val="21"/>
                <w:szCs w:val="21"/>
                <w:u w:val="none"/>
                <w:lang w:val="en-US" w:eastAsia="zh-CN" w:bidi="ar"/>
              </w:rPr>
              <w:t>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b/>
                <w:bCs/>
                <w:i w:val="0"/>
                <w:iCs w:val="0"/>
                <w:color w:val="000000"/>
                <w:sz w:val="21"/>
                <w:szCs w:val="21"/>
                <w:u w:val="none"/>
                <w:lang w:val="en-US" w:eastAsia="zh-CN"/>
              </w:rPr>
            </w:pPr>
            <w:r>
              <w:rPr>
                <w:rFonts w:hint="eastAsia" w:ascii="仿宋_GB2312" w:hAnsi="仿宋_GB2312" w:cs="仿宋_GB2312"/>
                <w:b/>
                <w:bCs/>
                <w:i w:val="0"/>
                <w:iCs w:val="0"/>
                <w:color w:val="000000"/>
                <w:sz w:val="21"/>
                <w:szCs w:val="21"/>
                <w:u w:val="none"/>
                <w:lang w:val="en-US" w:eastAsia="zh-CN"/>
              </w:rPr>
              <w:t>规格型号</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仿宋_GB2312" w:hAnsi="仿宋_GB2312" w:eastAsia="仿宋_GB2312" w:cs="仿宋_GB2312"/>
                <w:b/>
                <w:bCs/>
                <w:i w:val="0"/>
                <w:iCs w:val="0"/>
                <w:color w:val="000000"/>
                <w:sz w:val="21"/>
                <w:szCs w:val="21"/>
                <w:u w:val="none"/>
              </w:rPr>
            </w:pPr>
            <w:r>
              <w:rPr>
                <w:rFonts w:hint="eastAsia" w:ascii="仿宋_GB2312" w:hAnsi="仿宋_GB2312" w:cs="仿宋_GB2312"/>
                <w:b/>
                <w:bCs/>
                <w:i w:val="0"/>
                <w:iCs w:val="0"/>
                <w:color w:val="000000"/>
                <w:kern w:val="0"/>
                <w:sz w:val="18"/>
                <w:szCs w:val="18"/>
                <w:u w:val="none"/>
                <w:lang w:val="en-US" w:eastAsia="zh-CN" w:bidi="ar"/>
              </w:rPr>
              <w:t>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配线架</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知名品牌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六类24口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理线架</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知名品牌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理线架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大对数电话缆</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知名品牌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大对数电话缆</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知名品牌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25对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电话线</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知名品牌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2芯电话线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超五类工程网线</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知名品牌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305米超五类非屏蔽网线（0.50±0.01mm）以上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六类工程网线</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知名品牌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305米六类非屏蔽纯铜6类千兆双绞线。</w:t>
            </w:r>
            <w:r>
              <w:rPr>
                <w:rFonts w:hint="eastAsia" w:ascii="仿宋_GB2312" w:hAnsi="仿宋_GB2312" w:eastAsia="仿宋_GB2312" w:cs="仿宋_GB2312"/>
                <w:i w:val="0"/>
                <w:iCs w:val="0"/>
                <w:color w:val="000000"/>
                <w:kern w:val="0"/>
                <w:sz w:val="18"/>
                <w:szCs w:val="18"/>
                <w:u w:val="none"/>
                <w:lang w:val="en-US" w:eastAsia="zh-CN" w:bidi="ar"/>
              </w:rPr>
              <w:t>UTP CAT6 工程级双绞线;支持速率≥1Cbps,支持 PDP供电，线规符合 AWG23,单股导体线径三0.55m，绝缘层为高究度聚乙烯(HDPP)，外护为聚氯乙烯(PyC)，骨芯结构为十字龙骨芯，运行温度范围优于-20至 60℃，安装温度范围优于(含)0至 50C。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六类低烟无卤网线</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知名品牌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305米六类非屏蔽低烟无卤6类千兆阻燃双绞线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1.9</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六类屏蔽网线</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知名品牌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305米六类屏蔽低烟无卤6类千兆阻燃双绞线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1.10 </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网络模块</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知名品牌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超五类网络免打模块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1.11</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网络模块</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知名品牌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六类网络免打模块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1.12 </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网络模块</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知名品牌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六类屏蔽网络免打模块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1.13</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网络模块面板</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知名品牌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通用超五/六/七类86型网络模块单口面板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1.14 </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网络模块面板</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知名品牌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通用超五/六/七类86型网络模块双口面板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1.15</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网络模块面板</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知名品牌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通用超五/六/七类86型网络模块四口面板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1.16 </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网线跳线</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知名品牌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5 米超五类非屏蔽双绞线跳线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1.17</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网线跳线</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知名品牌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2 米超五类非屏蔽双绞线跳线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1.18 </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网线跳线</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知名品牌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5 米六类非屏蔽双绞线跳线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1.19</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网线跳线</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知名品牌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 2 米六类非屏蔽双绞线跳线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1.20 </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光纤</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知名品牌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光缆6芯、单模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1.21</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光纤</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知名品牌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光缆12芯、单模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1.22 </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光纤熔接包</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知名品牌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光纤防水熔接包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1.23</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耦合器</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知名品牌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ST-ST头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1.24 </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光端盒</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知名品牌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24口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1.25</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光端盒</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知名品牌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1.26 </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光纤跳线</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知名品牌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纤跳线 SC-LC，FC-LC,LC-LC单模3M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1.27</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光纤跳线</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知名品牌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纤跳线 SC-LC，FC-LC,LC-LC单模5M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1.28 </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光纤跳线</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知名品牌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纤跳线 SC-LC，FC-LC,LC-LC单模10M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1.29</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HDMI线</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知名品牌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5米HDMI线2.0版 4K60Hz数字高清线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1.30 </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HDMI线</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知名品牌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10米HDMI线2.0版 4K60Hz数字高清线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1.31</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HDMI线</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知名品牌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15米HDMI线2.0版 4K60Hz数字高清线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1.32 </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电源线</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知名品牌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RVV2*1.0平方护套电源线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1.33</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电源线</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知名品牌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RVV2*1.5平方护套电源线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1.34 </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电源线</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知名品牌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RVV3*2.5平方护套电源线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1.35</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机柜</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知名品牌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0.6米  600*550*400mm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1.36 </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机柜</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知名品牌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0.35米  350*550*400mm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1.37</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PDU</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知名品牌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10A 8孔 防雷PDU配线长度3米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1.38 </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插线板</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知名品牌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8位五孔总控 3米 配线3*1.0mm以上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1.39</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插座</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86型5孔明装插座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1.40 </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底盒</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86型明装底盒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1.41</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投影支架</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加长型1.5投影吊装支架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1.42 </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接线端子</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接线端子 100 个/盒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1.43</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RJ45 头</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超五类非屏蔽水晶头100 个/盒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1.44 </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RJ45 头</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六类非屏蔽水晶头100 个/盒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1.45</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RJ46 头</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六类屏蔽水晶头101 个/盒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1.46 </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PVC线槽</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60MM*40MM线槽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1.47</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PVC线槽</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30MM*19MM线槽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1.48 </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PVC线槽</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24MM*14MM线槽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1.49</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PVC线管</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Style w:val="25"/>
                <w:rFonts w:hint="eastAsia" w:ascii="仿宋_GB2312" w:hAnsi="仿宋_GB2312" w:eastAsia="仿宋_GB2312" w:cs="仿宋_GB2312"/>
                <w:sz w:val="21"/>
                <w:szCs w:val="21"/>
                <w:lang w:val="en-US" w:eastAsia="zh-CN" w:bidi="ar"/>
              </w:rPr>
              <w:t>ф</w:t>
            </w:r>
            <w:r>
              <w:rPr>
                <w:rStyle w:val="31"/>
                <w:rFonts w:hint="eastAsia" w:ascii="仿宋_GB2312" w:hAnsi="仿宋_GB2312" w:eastAsia="仿宋_GB2312" w:cs="仿宋_GB2312"/>
                <w:sz w:val="21"/>
                <w:szCs w:val="21"/>
                <w:lang w:val="en-US" w:eastAsia="zh-CN" w:bidi="ar"/>
              </w:rPr>
              <w:t>25MM PVC线管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1.50 </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金属桥架</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100*75桥架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1.51</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金属桥架</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50*50桥架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1.52 </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镀锌铁管</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Style w:val="25"/>
                <w:rFonts w:hint="eastAsia" w:ascii="仿宋_GB2312" w:hAnsi="仿宋_GB2312" w:eastAsia="仿宋_GB2312" w:cs="仿宋_GB2312"/>
                <w:sz w:val="21"/>
                <w:szCs w:val="21"/>
                <w:lang w:val="en-US" w:eastAsia="zh-CN" w:bidi="ar"/>
              </w:rPr>
              <w:t>ф</w:t>
            </w:r>
            <w:r>
              <w:rPr>
                <w:rStyle w:val="31"/>
                <w:rFonts w:hint="eastAsia" w:ascii="仿宋_GB2312" w:hAnsi="仿宋_GB2312" w:eastAsia="仿宋_GB2312" w:cs="仿宋_GB2312"/>
                <w:sz w:val="21"/>
                <w:szCs w:val="21"/>
                <w:lang w:val="en-US" w:eastAsia="zh-CN" w:bidi="ar"/>
              </w:rPr>
              <w:t>20MM镀锌铁管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1.53</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镀锌铁管</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Style w:val="25"/>
                <w:rFonts w:hint="eastAsia" w:ascii="仿宋_GB2312" w:hAnsi="仿宋_GB2312" w:eastAsia="仿宋_GB2312" w:cs="仿宋_GB2312"/>
                <w:sz w:val="21"/>
                <w:szCs w:val="21"/>
                <w:lang w:val="en-US" w:eastAsia="zh-CN" w:bidi="ar"/>
              </w:rPr>
              <w:t>ф</w:t>
            </w:r>
            <w:r>
              <w:rPr>
                <w:rStyle w:val="31"/>
                <w:rFonts w:hint="eastAsia" w:ascii="仿宋_GB2312" w:hAnsi="仿宋_GB2312" w:eastAsia="仿宋_GB2312" w:cs="仿宋_GB2312"/>
                <w:sz w:val="21"/>
                <w:szCs w:val="21"/>
                <w:lang w:val="en-US" w:eastAsia="zh-CN" w:bidi="ar"/>
              </w:rPr>
              <w:t>25MM镀锌铁管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1.54 </w:t>
            </w:r>
          </w:p>
        </w:tc>
        <w:tc>
          <w:tcPr>
            <w:tcW w:w="900" w:type="pct"/>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布线费</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信息点网线布线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1.55</w:t>
            </w:r>
          </w:p>
        </w:tc>
        <w:tc>
          <w:tcPr>
            <w:tcW w:w="900" w:type="pct"/>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电话点布线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1.56 </w:t>
            </w:r>
          </w:p>
        </w:tc>
        <w:tc>
          <w:tcPr>
            <w:tcW w:w="900" w:type="pct"/>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车间、生产线金属桥架安装服务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1.57</w:t>
            </w:r>
          </w:p>
        </w:tc>
        <w:tc>
          <w:tcPr>
            <w:tcW w:w="900" w:type="pct"/>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车间、生产线穿线管安装服务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1.58 </w:t>
            </w:r>
          </w:p>
        </w:tc>
        <w:tc>
          <w:tcPr>
            <w:tcW w:w="900" w:type="pct"/>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光纤布线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1.59</w:t>
            </w:r>
          </w:p>
        </w:tc>
        <w:tc>
          <w:tcPr>
            <w:tcW w:w="900" w:type="pct"/>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光纤熔接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1.60 </w:t>
            </w:r>
          </w:p>
        </w:tc>
        <w:tc>
          <w:tcPr>
            <w:tcW w:w="900" w:type="pct"/>
            <w:vMerge w:val="continue"/>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光纤熔接：不足12芯按次计算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1.61</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人工服务费</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一般人工服务费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1.62 </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特殊工具</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电焊机（含具备资质的操作人员）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1.63</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特殊工具</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登高车：5天/次，支持14米登高。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1317" w:type="pct"/>
            <w:gridSpan w:val="2"/>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二、网络设备</w:t>
            </w:r>
          </w:p>
        </w:tc>
        <w:tc>
          <w:tcPr>
            <w:tcW w:w="937" w:type="pct"/>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b/>
                <w:bCs/>
                <w:i w:val="0"/>
                <w:iCs w:val="0"/>
                <w:color w:val="000000"/>
                <w:sz w:val="21"/>
                <w:szCs w:val="21"/>
                <w:u w:val="none"/>
              </w:rPr>
            </w:pPr>
          </w:p>
        </w:tc>
        <w:tc>
          <w:tcPr>
            <w:tcW w:w="669" w:type="pct"/>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b/>
                <w:bCs/>
                <w:i w:val="0"/>
                <w:iCs w:val="0"/>
                <w:color w:val="000000"/>
                <w:sz w:val="21"/>
                <w:szCs w:val="21"/>
                <w:u w:val="none"/>
              </w:rPr>
            </w:pPr>
          </w:p>
        </w:tc>
        <w:tc>
          <w:tcPr>
            <w:tcW w:w="2075" w:type="pct"/>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b/>
                <w:bCs/>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序号</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项目</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cs="仿宋_GB2312"/>
                <w:b/>
                <w:bCs/>
                <w:i w:val="0"/>
                <w:iCs w:val="0"/>
                <w:color w:val="000000"/>
                <w:sz w:val="21"/>
                <w:szCs w:val="21"/>
                <w:u w:val="none"/>
                <w:lang w:val="en-US" w:eastAsia="zh-CN"/>
              </w:rPr>
              <w:t>规格型号</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仿宋_GB2312" w:hAnsi="仿宋_GB2312" w:eastAsia="仿宋_GB2312" w:cs="仿宋_GB2312"/>
                <w:b/>
                <w:bCs/>
                <w:i w:val="0"/>
                <w:iCs w:val="0"/>
                <w:color w:val="000000"/>
                <w:sz w:val="21"/>
                <w:szCs w:val="21"/>
                <w:u w:val="none"/>
              </w:rPr>
            </w:pPr>
            <w:r>
              <w:rPr>
                <w:rFonts w:hint="eastAsia" w:ascii="仿宋_GB2312" w:hAnsi="仿宋_GB2312" w:cs="仿宋_GB2312"/>
                <w:b/>
                <w:bCs/>
                <w:i w:val="0"/>
                <w:iCs w:val="0"/>
                <w:color w:val="000000"/>
                <w:kern w:val="0"/>
                <w:sz w:val="18"/>
                <w:szCs w:val="18"/>
                <w:u w:val="none"/>
                <w:lang w:val="en-US" w:eastAsia="zh-CN" w:bidi="ar"/>
              </w:rPr>
              <w:t>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2.1</w:t>
            </w:r>
          </w:p>
        </w:tc>
        <w:tc>
          <w:tcPr>
            <w:tcW w:w="90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48口接入交换机</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H3C</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S5130V2-52P-LI</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 性能：整机交换容量 ≥496Gbps；转发性能 ≥126Mpps </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 端口：≥48千兆电+4千兆SFP</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 MAC地址表≥16K，IPv4路由表容量≥512，ARP≥1K</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 . 支持IPv4/IPv6静态路由，支持RIP/RIPng，OSPFV2/V3</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 交换机支持≥9台物理设备虚拟化技术，支持完善的堆叠分裂检测机制，堆叠分裂后能自动完成MAC和IP地址的重配置，无需手动干预</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6. 实现ERPS功能，能够快速阻断环路，链路收敛时间≤50ms</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7. 实现CPU保护功能，能限制非法报文对CPU的攻击，保护交换机在各种环境下稳定工作 </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8.支持RRPP（快速环网保护协议），环网故障恢复时间不超过50ms，支持Smartlink，支持PVST功能；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w:t>
            </w:r>
          </w:p>
        </w:tc>
        <w:tc>
          <w:tcPr>
            <w:tcW w:w="90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24口接入交换机</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H3C</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S5130V2-28P-LI</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 性能：整机交换容量 ≥336Gbps；转发性能 ≥108Mpps </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 端口：≥24千兆电+4千兆SFP</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 MAC地址表≥16K，IPv4路由表容量≥512，ARP≥1K</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 . 支持IPv4/IPv6静态路由，支持RIP/RIPng，OSPFV2/V3</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 交换机支持≥9台物理设备虚拟化技术，支持完善的堆叠分裂检测机制，堆叠分裂后能自动完成MAC和IP地址的重配置，无需手动干预</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6. 实现ERPS功能，能够快速阻断环路，链路收敛时间≤50ms</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7. 实现CPU保护功能，能限制非法报文对CPU的攻击，保护交换机在各种环境下稳定工作 </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8.支持RRPP（快速环网保护协议），环网故障恢复时间不超过50ms，支持Smartlink，支持PVST功能；</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9. 支持SNMP V1/V2/V3、RMON、SSHV2；支持端口休眠，关闭没有应用的端口，节省能源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2.3</w:t>
            </w:r>
          </w:p>
        </w:tc>
        <w:tc>
          <w:tcPr>
            <w:tcW w:w="90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16口接入交换机</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H3C</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S5130V2-20P-LI</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1．性能：整机交换容量 ≥336Gbps；转发性能 ≥96Mpps</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2.固定接口：16*10/100/1000BASE-T电口+4*1000BASE-X SFP端口；</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3.支持基于端口的VLAN，支持QinQ、灵活QinQ；</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4.支持IPv4/IPv6静态路由，支持RIP/RIPng，OSPF v2/v3，支持组播VLAN；</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5.支持STP/RSTP/MSTP协议</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6.支持命令行接口（CLI）配置，支持Telnet远程配置，支持通过Console口配置；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2.4</w:t>
            </w:r>
          </w:p>
        </w:tc>
        <w:tc>
          <w:tcPr>
            <w:tcW w:w="90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8口接入交换机</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H3C</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S1208V</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1．性能：整机交换容量 ≥16Gbps；转发性能 ≥11.9Mpps</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2.固定端口：8个10/100/1000M以太网端口，背板交换容量：16Gbps，转发能力：11.9Mpps；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2.5</w:t>
            </w:r>
          </w:p>
        </w:tc>
        <w:tc>
          <w:tcPr>
            <w:tcW w:w="90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5口接入交换机</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H3C</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S1205V</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1．性能：整机交换容量 ≥10Gbps；转发性能 ≥7.4Mpps </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2.固定端口：5个10/100/1000M以太网端口，背板交换容量：10Gbps，转发能力：7.4Mpps；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0" w:hRule="atLeast"/>
        </w:trPr>
        <w:tc>
          <w:tcPr>
            <w:tcW w:w="41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2.6</w:t>
            </w:r>
          </w:p>
        </w:tc>
        <w:tc>
          <w:tcPr>
            <w:tcW w:w="90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16口POE交换机</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H3C</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S1218F-HPWR</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1．性能：整机交换容量 ≥36Gbps；转发性能 ≥28.8Mpps</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2.固定端口：16个10/100/1000Base-T电口(包含两个uplink口，可作为上行口)，2个1000Base-X SFP端口（uplink）；支持PoE+，整机最大输出：225W，单端口最大供电功率 30W；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2.7</w:t>
            </w:r>
          </w:p>
        </w:tc>
        <w:tc>
          <w:tcPr>
            <w:tcW w:w="90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8口POE交换机</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H3C</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S1210F-HPWR</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1．性能：背板交换容量 ≥20Gbps，转发能力 ≥14Mpps</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2.固定端口：8个10/100/1000M以太网端口，2个1000BASE-X SFP端口；PoE 供电功率≥125W;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2.8</w:t>
            </w:r>
          </w:p>
        </w:tc>
        <w:tc>
          <w:tcPr>
            <w:tcW w:w="90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光纤收发器</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H3C</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FC01G-3A/3B</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一光一电千兆单模单纤收发器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2.9</w:t>
            </w:r>
          </w:p>
        </w:tc>
        <w:tc>
          <w:tcPr>
            <w:tcW w:w="90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光纤收发器</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H3C</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FC01G-3A+FC04G-3B</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一光四电千兆单模单纤收发器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2.10 </w:t>
            </w:r>
          </w:p>
        </w:tc>
        <w:tc>
          <w:tcPr>
            <w:tcW w:w="90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光纤收发器</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H3C</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FC01-20A/B</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一光一电百兆单模单纤收发器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2.11 </w:t>
            </w:r>
          </w:p>
        </w:tc>
        <w:tc>
          <w:tcPr>
            <w:tcW w:w="90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千兆单模</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H3C</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SFP-GE-LX-SM1310-D</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千兆1310nm,10km,LC光模块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2.12 </w:t>
            </w:r>
          </w:p>
        </w:tc>
        <w:tc>
          <w:tcPr>
            <w:tcW w:w="90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千兆多模</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H3C</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SFP-GE-LX-MM850-D</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千兆850nm,0.55km,LC光模块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2.13 </w:t>
            </w:r>
          </w:p>
        </w:tc>
        <w:tc>
          <w:tcPr>
            <w:tcW w:w="90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无线 AP 授权</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H3C</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LIS-WX-8-BE</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H3C WX系列控制器无线AP管理授权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2.14 </w:t>
            </w:r>
          </w:p>
        </w:tc>
        <w:tc>
          <w:tcPr>
            <w:tcW w:w="90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无线AP</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H3C</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EWP-WA6520-FIT</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内置天线双频四流802.11ax/ac/n无线接入点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1317" w:type="pct"/>
            <w:gridSpan w:val="2"/>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三、视频监控设备</w:t>
            </w:r>
          </w:p>
        </w:tc>
        <w:tc>
          <w:tcPr>
            <w:tcW w:w="937" w:type="pct"/>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b/>
                <w:bCs/>
                <w:i w:val="0"/>
                <w:iCs w:val="0"/>
                <w:color w:val="000000"/>
                <w:sz w:val="21"/>
                <w:szCs w:val="21"/>
                <w:u w:val="none"/>
              </w:rPr>
            </w:pPr>
          </w:p>
        </w:tc>
        <w:tc>
          <w:tcPr>
            <w:tcW w:w="669" w:type="pct"/>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b/>
                <w:bCs/>
                <w:i w:val="0"/>
                <w:iCs w:val="0"/>
                <w:color w:val="000000"/>
                <w:sz w:val="21"/>
                <w:szCs w:val="21"/>
                <w:u w:val="none"/>
              </w:rPr>
            </w:pPr>
          </w:p>
        </w:tc>
        <w:tc>
          <w:tcPr>
            <w:tcW w:w="2075" w:type="pct"/>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b/>
                <w:bCs/>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序号</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项目</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cs="仿宋_GB2312"/>
                <w:b/>
                <w:bCs/>
                <w:i w:val="0"/>
                <w:iCs w:val="0"/>
                <w:color w:val="000000"/>
                <w:sz w:val="21"/>
                <w:szCs w:val="21"/>
                <w:u w:val="none"/>
                <w:lang w:val="en-US" w:eastAsia="zh-CN"/>
              </w:rPr>
              <w:t>规格型号</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仿宋_GB2312" w:hAnsi="仿宋_GB2312" w:eastAsia="仿宋_GB2312" w:cs="仿宋_GB2312"/>
                <w:b/>
                <w:bCs/>
                <w:i w:val="0"/>
                <w:iCs w:val="0"/>
                <w:color w:val="000000"/>
                <w:sz w:val="21"/>
                <w:szCs w:val="21"/>
                <w:u w:val="none"/>
              </w:rPr>
            </w:pPr>
            <w:r>
              <w:rPr>
                <w:rFonts w:hint="eastAsia" w:ascii="仿宋_GB2312" w:hAnsi="仿宋_GB2312" w:cs="仿宋_GB2312"/>
                <w:b/>
                <w:bCs/>
                <w:i w:val="0"/>
                <w:iCs w:val="0"/>
                <w:color w:val="000000"/>
                <w:kern w:val="0"/>
                <w:sz w:val="18"/>
                <w:szCs w:val="18"/>
                <w:u w:val="none"/>
                <w:lang w:val="en-US" w:eastAsia="zh-CN" w:bidi="ar"/>
              </w:rPr>
              <w:t>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3.1</w:t>
            </w:r>
          </w:p>
        </w:tc>
        <w:tc>
          <w:tcPr>
            <w:tcW w:w="90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监控支架</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海康</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适配摄像机型</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适配摄像机型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3.2</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球机吊装支架加长杆</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海康</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通用吊装支架</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150-300cm伸缩范围，匹配现有设备及环境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室外壁挂监控箱</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海康</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DS-CCU400</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室外防水防尘布线抱杆箱400*500*300mm DS-CCU400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3.4</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摄像机电源</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海康/小耳朵</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DC12V/2A 监控摄像头防水电源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3.5</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摄像机电源</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海康/小耳朵</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AC24V/3A 监控摄像头防水电源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3.6</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摄像机</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海康</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DS-2CD3T46WDV3-I3</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400万像素枪机，支持POE供电，可接入现有监控系统，含配套电源、支架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3.7</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摄像机</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海康</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DS-2CD3346WDV3-I</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400万像素半球机，支持POE供电，可接入现有监控系统，含配套电源、支架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3.8</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摄像机</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海康</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DS-2DC4423IW-DE</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400万像素4寸球机，支持POE供电，可接入现有监控系统，含配套电源、支架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3.9</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监控硬盘</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希捷/西数</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监控级4T硬盘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3.10 </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监控硬盘</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希捷/西数</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监控级8T硬盘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3.11</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POE电源分离器</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海康/小耳朵</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监控电源POE标准隔离型分离器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3.12 </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视频监视器维修</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43寸液晶监视器维修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1317" w:type="pct"/>
            <w:gridSpan w:val="2"/>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四、一卡通系统</w:t>
            </w:r>
          </w:p>
        </w:tc>
        <w:tc>
          <w:tcPr>
            <w:tcW w:w="937" w:type="pct"/>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b/>
                <w:bCs/>
                <w:i w:val="0"/>
                <w:iCs w:val="0"/>
                <w:color w:val="000000"/>
                <w:sz w:val="21"/>
                <w:szCs w:val="21"/>
                <w:u w:val="none"/>
              </w:rPr>
            </w:pPr>
          </w:p>
        </w:tc>
        <w:tc>
          <w:tcPr>
            <w:tcW w:w="669" w:type="pct"/>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b/>
                <w:bCs/>
                <w:i w:val="0"/>
                <w:iCs w:val="0"/>
                <w:color w:val="000000"/>
                <w:sz w:val="21"/>
                <w:szCs w:val="21"/>
                <w:u w:val="none"/>
              </w:rPr>
            </w:pPr>
          </w:p>
        </w:tc>
        <w:tc>
          <w:tcPr>
            <w:tcW w:w="2075" w:type="pct"/>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b/>
                <w:bCs/>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序号</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项目</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cs="仿宋_GB2312"/>
                <w:b/>
                <w:bCs/>
                <w:i w:val="0"/>
                <w:iCs w:val="0"/>
                <w:color w:val="000000"/>
                <w:sz w:val="21"/>
                <w:szCs w:val="21"/>
                <w:u w:val="none"/>
                <w:lang w:val="en-US" w:eastAsia="zh-CN"/>
              </w:rPr>
              <w:t>规格型号</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仿宋_GB2312" w:hAnsi="仿宋_GB2312" w:eastAsia="仿宋_GB2312" w:cs="仿宋_GB2312"/>
                <w:b/>
                <w:bCs/>
                <w:i w:val="0"/>
                <w:iCs w:val="0"/>
                <w:color w:val="000000"/>
                <w:sz w:val="21"/>
                <w:szCs w:val="21"/>
                <w:u w:val="none"/>
              </w:rPr>
            </w:pPr>
            <w:r>
              <w:rPr>
                <w:rFonts w:hint="eastAsia" w:ascii="仿宋_GB2312" w:hAnsi="仿宋_GB2312" w:cs="仿宋_GB2312"/>
                <w:b/>
                <w:bCs/>
                <w:i w:val="0"/>
                <w:iCs w:val="0"/>
                <w:color w:val="000000"/>
                <w:kern w:val="0"/>
                <w:sz w:val="18"/>
                <w:szCs w:val="18"/>
                <w:u w:val="none"/>
                <w:lang w:val="en-US" w:eastAsia="zh-CN" w:bidi="ar"/>
              </w:rPr>
              <w:t>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4.1</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员工白卡</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复旦</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S50</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IC白卡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4.2</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发卡器</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达实</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DAC FK4160</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达实 DAC FK4160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4.3</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台式消费机</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达实</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DAC XF4870</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达实 DAC XF4870 32位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4.4</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消费机软键盘</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达实</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适配现有设备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1317" w:type="pct"/>
            <w:gridSpan w:val="2"/>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五、广播系统</w:t>
            </w:r>
          </w:p>
        </w:tc>
        <w:tc>
          <w:tcPr>
            <w:tcW w:w="937" w:type="pct"/>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b/>
                <w:bCs/>
                <w:i w:val="0"/>
                <w:iCs w:val="0"/>
                <w:color w:val="000000"/>
                <w:sz w:val="21"/>
                <w:szCs w:val="21"/>
                <w:u w:val="none"/>
              </w:rPr>
            </w:pPr>
          </w:p>
        </w:tc>
        <w:tc>
          <w:tcPr>
            <w:tcW w:w="669" w:type="pct"/>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b/>
                <w:bCs/>
                <w:i w:val="0"/>
                <w:iCs w:val="0"/>
                <w:color w:val="000000"/>
                <w:sz w:val="21"/>
                <w:szCs w:val="21"/>
                <w:u w:val="none"/>
              </w:rPr>
            </w:pPr>
          </w:p>
        </w:tc>
        <w:tc>
          <w:tcPr>
            <w:tcW w:w="2075" w:type="pct"/>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b/>
                <w:bCs/>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序号</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项目</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cs="仿宋_GB2312"/>
                <w:b/>
                <w:bCs/>
                <w:i w:val="0"/>
                <w:iCs w:val="0"/>
                <w:color w:val="000000"/>
                <w:sz w:val="21"/>
                <w:szCs w:val="21"/>
                <w:u w:val="none"/>
                <w:lang w:val="en-US" w:eastAsia="zh-CN"/>
              </w:rPr>
              <w:t>规格型号</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仿宋_GB2312" w:hAnsi="仿宋_GB2312" w:eastAsia="仿宋_GB2312" w:cs="仿宋_GB2312"/>
                <w:b/>
                <w:bCs/>
                <w:i w:val="0"/>
                <w:iCs w:val="0"/>
                <w:color w:val="000000"/>
                <w:sz w:val="21"/>
                <w:szCs w:val="21"/>
                <w:u w:val="none"/>
              </w:rPr>
            </w:pPr>
            <w:r>
              <w:rPr>
                <w:rFonts w:hint="eastAsia" w:ascii="仿宋_GB2312" w:hAnsi="仿宋_GB2312" w:cs="仿宋_GB2312"/>
                <w:b/>
                <w:bCs/>
                <w:i w:val="0"/>
                <w:iCs w:val="0"/>
                <w:color w:val="000000"/>
                <w:kern w:val="0"/>
                <w:sz w:val="18"/>
                <w:szCs w:val="18"/>
                <w:u w:val="none"/>
                <w:lang w:val="en-US" w:eastAsia="zh-CN" w:bidi="ar"/>
              </w:rPr>
              <w:t>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5.1</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CD播放器</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ITC</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T-6221</w:t>
            </w:r>
          </w:p>
        </w:tc>
        <w:tc>
          <w:tcPr>
            <w:tcW w:w="2075"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5.2</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广播话筒</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ITC</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T-521A</w:t>
            </w:r>
          </w:p>
        </w:tc>
        <w:tc>
          <w:tcPr>
            <w:tcW w:w="2075"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5.3</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节目定时器</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ITC</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T-6205</w:t>
            </w:r>
          </w:p>
        </w:tc>
        <w:tc>
          <w:tcPr>
            <w:tcW w:w="2075"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5.4</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前置放大器</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ITC</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T-6201</w:t>
            </w:r>
          </w:p>
        </w:tc>
        <w:tc>
          <w:tcPr>
            <w:tcW w:w="2075"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5.5</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数据转换IP终端</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ITC</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T-6713</w:t>
            </w:r>
          </w:p>
        </w:tc>
        <w:tc>
          <w:tcPr>
            <w:tcW w:w="2075"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5.6</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音柱</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ITC</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T-804</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室外豪华型防水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1317" w:type="pct"/>
            <w:gridSpan w:val="2"/>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六、停车场管理系统</w:t>
            </w:r>
          </w:p>
        </w:tc>
        <w:tc>
          <w:tcPr>
            <w:tcW w:w="937" w:type="pct"/>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b/>
                <w:bCs/>
                <w:i w:val="0"/>
                <w:iCs w:val="0"/>
                <w:color w:val="000000"/>
                <w:sz w:val="21"/>
                <w:szCs w:val="21"/>
                <w:u w:val="none"/>
              </w:rPr>
            </w:pPr>
          </w:p>
        </w:tc>
        <w:tc>
          <w:tcPr>
            <w:tcW w:w="669" w:type="pct"/>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b/>
                <w:bCs/>
                <w:i w:val="0"/>
                <w:iCs w:val="0"/>
                <w:color w:val="000000"/>
                <w:sz w:val="21"/>
                <w:szCs w:val="21"/>
                <w:u w:val="none"/>
              </w:rPr>
            </w:pPr>
          </w:p>
        </w:tc>
        <w:tc>
          <w:tcPr>
            <w:tcW w:w="2075" w:type="pct"/>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b/>
                <w:bCs/>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序号</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项目</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品牌</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cs="仿宋_GB2312"/>
                <w:b/>
                <w:bCs/>
                <w:i w:val="0"/>
                <w:iCs w:val="0"/>
                <w:color w:val="000000"/>
                <w:sz w:val="21"/>
                <w:szCs w:val="21"/>
                <w:u w:val="none"/>
                <w:lang w:val="en-US" w:eastAsia="zh-CN"/>
              </w:rPr>
              <w:t>规格型号</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仿宋_GB2312" w:hAnsi="仿宋_GB2312" w:eastAsia="仿宋_GB2312" w:cs="仿宋_GB2312"/>
                <w:b/>
                <w:bCs/>
                <w:i w:val="0"/>
                <w:iCs w:val="0"/>
                <w:color w:val="000000"/>
                <w:sz w:val="21"/>
                <w:szCs w:val="21"/>
                <w:u w:val="none"/>
              </w:rPr>
            </w:pPr>
            <w:r>
              <w:rPr>
                <w:rFonts w:hint="eastAsia" w:ascii="仿宋_GB2312" w:hAnsi="仿宋_GB2312" w:cs="仿宋_GB2312"/>
                <w:b/>
                <w:bCs/>
                <w:i w:val="0"/>
                <w:iCs w:val="0"/>
                <w:color w:val="000000"/>
                <w:kern w:val="0"/>
                <w:sz w:val="18"/>
                <w:szCs w:val="18"/>
                <w:u w:val="none"/>
                <w:lang w:val="en-US" w:eastAsia="zh-CN" w:bidi="ar"/>
              </w:rPr>
              <w:t>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6.1</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道闸遥控功能模块</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富士</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适配现有设备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6.2</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道闸遥控器</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富士</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适配现有设备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6.3</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地感线圈</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达实</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DAC DG01</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适配现有设备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6.4</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软件加密狗</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富士</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FJC-Z613</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适配现有设备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5000" w:type="pct"/>
            <w:gridSpan w:val="5"/>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七、巡更系统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71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序号</w:t>
            </w:r>
          </w:p>
        </w:tc>
        <w:tc>
          <w:tcPr>
            <w:tcW w:w="153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项目</w:t>
            </w:r>
          </w:p>
        </w:tc>
        <w:tc>
          <w:tcPr>
            <w:tcW w:w="159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品牌</w:t>
            </w:r>
          </w:p>
        </w:tc>
        <w:tc>
          <w:tcPr>
            <w:tcW w:w="114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cs="仿宋_GB2312"/>
                <w:b/>
                <w:bCs/>
                <w:i w:val="0"/>
                <w:iCs w:val="0"/>
                <w:color w:val="000000"/>
                <w:sz w:val="21"/>
                <w:szCs w:val="21"/>
                <w:u w:val="none"/>
                <w:lang w:val="en-US" w:eastAsia="zh-CN"/>
              </w:rPr>
              <w:t>规格型号</w:t>
            </w:r>
          </w:p>
        </w:tc>
        <w:tc>
          <w:tcPr>
            <w:tcW w:w="35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仿宋_GB2312" w:hAnsi="仿宋_GB2312" w:eastAsia="仿宋_GB2312" w:cs="仿宋_GB2312"/>
                <w:b/>
                <w:bCs/>
                <w:i w:val="0"/>
                <w:iCs w:val="0"/>
                <w:color w:val="000000"/>
                <w:sz w:val="21"/>
                <w:szCs w:val="21"/>
                <w:u w:val="none"/>
              </w:rPr>
            </w:pPr>
            <w:r>
              <w:rPr>
                <w:rFonts w:hint="eastAsia" w:ascii="仿宋_GB2312" w:hAnsi="仿宋_GB2312" w:cs="仿宋_GB2312"/>
                <w:b/>
                <w:bCs/>
                <w:i w:val="0"/>
                <w:iCs w:val="0"/>
                <w:color w:val="000000"/>
                <w:kern w:val="0"/>
                <w:sz w:val="18"/>
                <w:szCs w:val="18"/>
                <w:u w:val="none"/>
                <w:lang w:val="en-US" w:eastAsia="zh-CN" w:bidi="ar"/>
              </w:rPr>
              <w:t>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7.1</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地点钮</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蓝卡</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BLC-7-27</w:t>
            </w:r>
          </w:p>
        </w:tc>
        <w:tc>
          <w:tcPr>
            <w:tcW w:w="2075"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7.2</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胶囊状信息钮</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蓝卡</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BLC-6-28</w:t>
            </w:r>
          </w:p>
        </w:tc>
        <w:tc>
          <w:tcPr>
            <w:tcW w:w="2075"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7.3</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软件加密狗</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蓝卡</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国标，适配系统</w:t>
            </w:r>
          </w:p>
        </w:tc>
        <w:tc>
          <w:tcPr>
            <w:tcW w:w="2075"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7.4</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信息钮</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蓝卡</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BLC-22</w:t>
            </w:r>
          </w:p>
        </w:tc>
        <w:tc>
          <w:tcPr>
            <w:tcW w:w="207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钮扣状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7.5</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巡检器</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蓝卡</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BP-2012S</w:t>
            </w:r>
          </w:p>
        </w:tc>
        <w:tc>
          <w:tcPr>
            <w:tcW w:w="2075"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9" w:hRule="atLeast"/>
        </w:trPr>
        <w:tc>
          <w:tcPr>
            <w:tcW w:w="41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7.6</w:t>
            </w:r>
          </w:p>
        </w:tc>
        <w:tc>
          <w:tcPr>
            <w:tcW w:w="90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专用无线通讯座</w:t>
            </w:r>
          </w:p>
        </w:tc>
        <w:tc>
          <w:tcPr>
            <w:tcW w:w="937"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蓝卡</w:t>
            </w:r>
          </w:p>
        </w:tc>
        <w:tc>
          <w:tcPr>
            <w:tcW w:w="66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BS-1000</w:t>
            </w:r>
          </w:p>
        </w:tc>
        <w:tc>
          <w:tcPr>
            <w:tcW w:w="2075" w:type="pct"/>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21"/>
                <w:szCs w:val="21"/>
                <w:u w:val="none"/>
              </w:rPr>
            </w:pPr>
          </w:p>
        </w:tc>
      </w:tr>
    </w:tbl>
    <w:p/>
    <w:bookmarkEnd w:id="25"/>
    <w:bookmarkEnd w:id="26"/>
    <w:p>
      <w:pPr>
        <w:pStyle w:val="2"/>
        <w:jc w:val="left"/>
        <w:rPr>
          <w:rFonts w:hint="eastAsia"/>
          <w:sz w:val="28"/>
          <w:szCs w:val="28"/>
        </w:rPr>
      </w:pPr>
      <w:bookmarkStart w:id="27" w:name="_Toc26132"/>
      <w:r>
        <w:rPr>
          <w:rFonts w:hint="eastAsia"/>
          <w:sz w:val="28"/>
          <w:szCs w:val="28"/>
          <w:lang w:val="en-US" w:eastAsia="zh-CN"/>
        </w:rPr>
        <w:t>四、</w:t>
      </w:r>
      <w:r>
        <w:rPr>
          <w:rFonts w:hint="eastAsia"/>
          <w:sz w:val="28"/>
          <w:szCs w:val="28"/>
        </w:rPr>
        <w:t>交付地点</w:t>
      </w:r>
      <w:bookmarkEnd w:id="27"/>
    </w:p>
    <w:p>
      <w:pPr>
        <w:spacing w:before="120" w:after="120"/>
        <w:ind w:firstLine="640"/>
        <w:rPr>
          <w:sz w:val="24"/>
          <w:szCs w:val="22"/>
        </w:rPr>
      </w:pPr>
      <w:r>
        <w:rPr>
          <w:rFonts w:hint="eastAsia"/>
          <w:sz w:val="24"/>
          <w:szCs w:val="22"/>
        </w:rPr>
        <w:t>重汽（重庆）轻型汽车有限公司</w:t>
      </w:r>
      <w:r>
        <w:rPr>
          <w:rFonts w:hint="eastAsia"/>
          <w:sz w:val="24"/>
          <w:szCs w:val="22"/>
          <w:lang w:val="en-US" w:eastAsia="zh-CN"/>
        </w:rPr>
        <w:t>双福厂区</w:t>
      </w:r>
      <w:r>
        <w:rPr>
          <w:rFonts w:hint="eastAsia"/>
          <w:sz w:val="24"/>
          <w:szCs w:val="22"/>
        </w:rPr>
        <w:t>。</w:t>
      </w:r>
    </w:p>
    <w:p>
      <w:pPr>
        <w:pStyle w:val="2"/>
        <w:spacing w:after="100" w:afterAutospacing="1"/>
        <w:jc w:val="left"/>
        <w:rPr>
          <w:sz w:val="28"/>
          <w:szCs w:val="28"/>
        </w:rPr>
      </w:pPr>
      <w:bookmarkStart w:id="28" w:name="_Toc2275"/>
      <w:r>
        <w:rPr>
          <w:rFonts w:hint="eastAsia"/>
          <w:sz w:val="28"/>
          <w:szCs w:val="28"/>
          <w:lang w:val="en-US" w:eastAsia="zh-CN"/>
        </w:rPr>
        <w:t>五、采购</w:t>
      </w:r>
      <w:r>
        <w:rPr>
          <w:sz w:val="28"/>
          <w:szCs w:val="28"/>
        </w:rPr>
        <w:t>清单</w:t>
      </w:r>
      <w:bookmarkEnd w:id="28"/>
    </w:p>
    <w:p>
      <w:pPr>
        <w:pStyle w:val="3"/>
        <w:bidi w:val="0"/>
        <w:rPr>
          <w:rFonts w:hint="eastAsia"/>
          <w:lang w:val="en-US" w:eastAsia="zh-CN"/>
        </w:rPr>
      </w:pPr>
      <w:bookmarkStart w:id="29" w:name="_Toc13091"/>
      <w:r>
        <w:rPr>
          <w:rFonts w:hint="eastAsia"/>
          <w:lang w:val="en-US" w:eastAsia="zh-CN"/>
        </w:rPr>
        <w:t>5.1采购权重</w:t>
      </w:r>
      <w:bookmarkEnd w:id="29"/>
    </w:p>
    <w:tbl>
      <w:tblPr>
        <w:tblStyle w:val="16"/>
        <w:tblW w:w="4951"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5"/>
        <w:gridCol w:w="4603"/>
        <w:gridCol w:w="3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right"/>
        </w:trPr>
        <w:tc>
          <w:tcPr>
            <w:tcW w:w="940" w:type="pct"/>
          </w:tcPr>
          <w:p>
            <w:pPr>
              <w:keepNext w:val="0"/>
              <w:keepLines w:val="0"/>
              <w:pageBreakBefore w:val="0"/>
              <w:widowControl w:val="0"/>
              <w:kinsoku/>
              <w:wordWrap/>
              <w:overflowPunct/>
              <w:topLinePunct w:val="0"/>
              <w:autoSpaceDE/>
              <w:autoSpaceDN/>
              <w:bidi w:val="0"/>
              <w:adjustRightInd/>
              <w:snapToGrid/>
              <w:spacing w:after="200" w:line="276" w:lineRule="auto"/>
              <w:ind w:firstLine="0" w:firstLineChars="0"/>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2358" w:type="pct"/>
          </w:tcPr>
          <w:p>
            <w:pPr>
              <w:keepNext w:val="0"/>
              <w:keepLines w:val="0"/>
              <w:pageBreakBefore w:val="0"/>
              <w:widowControl w:val="0"/>
              <w:kinsoku/>
              <w:wordWrap/>
              <w:overflowPunct/>
              <w:topLinePunct w:val="0"/>
              <w:autoSpaceDE/>
              <w:autoSpaceDN/>
              <w:bidi w:val="0"/>
              <w:adjustRightInd/>
              <w:snapToGrid/>
              <w:spacing w:after="200" w:line="276" w:lineRule="auto"/>
              <w:ind w:firstLine="0" w:firstLineChars="0"/>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类别</w:t>
            </w:r>
          </w:p>
        </w:tc>
        <w:tc>
          <w:tcPr>
            <w:tcW w:w="1701" w:type="pct"/>
          </w:tcPr>
          <w:p>
            <w:pPr>
              <w:keepNext w:val="0"/>
              <w:keepLines w:val="0"/>
              <w:pageBreakBefore w:val="0"/>
              <w:widowControl w:val="0"/>
              <w:kinsoku/>
              <w:wordWrap/>
              <w:overflowPunct/>
              <w:topLinePunct w:val="0"/>
              <w:autoSpaceDE/>
              <w:autoSpaceDN/>
              <w:bidi w:val="0"/>
              <w:adjustRightInd/>
              <w:snapToGrid/>
              <w:spacing w:after="200" w:line="276" w:lineRule="auto"/>
              <w:ind w:firstLine="0" w:firstLineChars="0"/>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采购权重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right"/>
        </w:trPr>
        <w:tc>
          <w:tcPr>
            <w:tcW w:w="940" w:type="pct"/>
          </w:tcPr>
          <w:p>
            <w:pPr>
              <w:keepNext w:val="0"/>
              <w:keepLines w:val="0"/>
              <w:pageBreakBefore w:val="0"/>
              <w:widowControl w:val="0"/>
              <w:kinsoku/>
              <w:wordWrap/>
              <w:overflowPunct/>
              <w:topLinePunct w:val="0"/>
              <w:autoSpaceDE/>
              <w:autoSpaceDN/>
              <w:bidi w:val="0"/>
              <w:adjustRightInd/>
              <w:snapToGrid/>
              <w:spacing w:after="200" w:line="276" w:lineRule="auto"/>
              <w:ind w:firstLine="0" w:firstLineChars="0"/>
              <w:jc w:val="center"/>
              <w:textAlignment w:val="auto"/>
              <w:rPr>
                <w:rFonts w:hint="eastAsia"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1</w:t>
            </w:r>
          </w:p>
        </w:tc>
        <w:tc>
          <w:tcPr>
            <w:tcW w:w="2358" w:type="pct"/>
          </w:tcPr>
          <w:p>
            <w:pPr>
              <w:keepNext w:val="0"/>
              <w:keepLines w:val="0"/>
              <w:pageBreakBefore w:val="0"/>
              <w:widowControl w:val="0"/>
              <w:kinsoku/>
              <w:wordWrap/>
              <w:overflowPunct/>
              <w:topLinePunct w:val="0"/>
              <w:autoSpaceDE/>
              <w:autoSpaceDN/>
              <w:bidi w:val="0"/>
              <w:adjustRightInd/>
              <w:snapToGrid/>
              <w:spacing w:after="200" w:line="276" w:lineRule="auto"/>
              <w:ind w:firstLine="0" w:firstLineChars="0"/>
              <w:jc w:val="center"/>
              <w:textAlignment w:val="auto"/>
              <w:rPr>
                <w:rFonts w:hint="eastAsia"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综合布线</w:t>
            </w:r>
          </w:p>
        </w:tc>
        <w:tc>
          <w:tcPr>
            <w:tcW w:w="1701" w:type="pct"/>
          </w:tcPr>
          <w:p>
            <w:pPr>
              <w:keepNext w:val="0"/>
              <w:keepLines w:val="0"/>
              <w:pageBreakBefore w:val="0"/>
              <w:widowControl w:val="0"/>
              <w:kinsoku/>
              <w:wordWrap/>
              <w:overflowPunct/>
              <w:topLinePunct w:val="0"/>
              <w:autoSpaceDE/>
              <w:autoSpaceDN/>
              <w:bidi w:val="0"/>
              <w:adjustRightInd/>
              <w:snapToGrid/>
              <w:spacing w:after="200" w:line="276" w:lineRule="auto"/>
              <w:ind w:firstLine="0" w:firstLineChars="0"/>
              <w:jc w:val="center"/>
              <w:textAlignment w:val="auto"/>
              <w:rPr>
                <w:rFonts w:hint="default"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right"/>
        </w:trPr>
        <w:tc>
          <w:tcPr>
            <w:tcW w:w="940" w:type="pct"/>
          </w:tcPr>
          <w:p>
            <w:pPr>
              <w:keepNext w:val="0"/>
              <w:keepLines w:val="0"/>
              <w:pageBreakBefore w:val="0"/>
              <w:widowControl w:val="0"/>
              <w:kinsoku/>
              <w:wordWrap/>
              <w:overflowPunct/>
              <w:topLinePunct w:val="0"/>
              <w:autoSpaceDE/>
              <w:autoSpaceDN/>
              <w:bidi w:val="0"/>
              <w:adjustRightInd/>
              <w:snapToGrid/>
              <w:spacing w:after="200" w:line="276" w:lineRule="auto"/>
              <w:ind w:firstLine="0" w:firstLineChars="0"/>
              <w:jc w:val="center"/>
              <w:textAlignment w:val="auto"/>
              <w:rPr>
                <w:rFonts w:hint="eastAsia"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2</w:t>
            </w:r>
          </w:p>
        </w:tc>
        <w:tc>
          <w:tcPr>
            <w:tcW w:w="2358" w:type="pct"/>
          </w:tcPr>
          <w:p>
            <w:pPr>
              <w:keepNext w:val="0"/>
              <w:keepLines w:val="0"/>
              <w:pageBreakBefore w:val="0"/>
              <w:widowControl w:val="0"/>
              <w:kinsoku/>
              <w:wordWrap/>
              <w:overflowPunct/>
              <w:topLinePunct w:val="0"/>
              <w:autoSpaceDE/>
              <w:autoSpaceDN/>
              <w:bidi w:val="0"/>
              <w:adjustRightInd/>
              <w:snapToGrid/>
              <w:spacing w:after="200" w:line="276" w:lineRule="auto"/>
              <w:ind w:firstLine="0" w:firstLineChars="0"/>
              <w:jc w:val="center"/>
              <w:textAlignment w:val="auto"/>
              <w:rPr>
                <w:rFonts w:hint="eastAsia"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网络设备</w:t>
            </w:r>
          </w:p>
        </w:tc>
        <w:tc>
          <w:tcPr>
            <w:tcW w:w="1701" w:type="pct"/>
          </w:tcPr>
          <w:p>
            <w:pPr>
              <w:keepNext w:val="0"/>
              <w:keepLines w:val="0"/>
              <w:pageBreakBefore w:val="0"/>
              <w:widowControl w:val="0"/>
              <w:kinsoku/>
              <w:wordWrap/>
              <w:overflowPunct/>
              <w:topLinePunct w:val="0"/>
              <w:autoSpaceDE/>
              <w:autoSpaceDN/>
              <w:bidi w:val="0"/>
              <w:adjustRightInd/>
              <w:snapToGrid/>
              <w:spacing w:after="200" w:line="276" w:lineRule="auto"/>
              <w:ind w:firstLine="0" w:firstLineChars="0"/>
              <w:jc w:val="center"/>
              <w:textAlignment w:val="auto"/>
              <w:rPr>
                <w:rFonts w:hint="default"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right"/>
        </w:trPr>
        <w:tc>
          <w:tcPr>
            <w:tcW w:w="940" w:type="pct"/>
          </w:tcPr>
          <w:p>
            <w:pPr>
              <w:keepNext w:val="0"/>
              <w:keepLines w:val="0"/>
              <w:pageBreakBefore w:val="0"/>
              <w:widowControl w:val="0"/>
              <w:kinsoku/>
              <w:wordWrap/>
              <w:overflowPunct/>
              <w:topLinePunct w:val="0"/>
              <w:autoSpaceDE/>
              <w:autoSpaceDN/>
              <w:bidi w:val="0"/>
              <w:adjustRightInd/>
              <w:snapToGrid/>
              <w:spacing w:after="200" w:line="276" w:lineRule="auto"/>
              <w:ind w:firstLine="0" w:firstLineChars="0"/>
              <w:jc w:val="center"/>
              <w:textAlignment w:val="auto"/>
              <w:rPr>
                <w:rFonts w:hint="eastAsia"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3</w:t>
            </w:r>
          </w:p>
        </w:tc>
        <w:tc>
          <w:tcPr>
            <w:tcW w:w="2358" w:type="pct"/>
          </w:tcPr>
          <w:p>
            <w:pPr>
              <w:keepNext w:val="0"/>
              <w:keepLines w:val="0"/>
              <w:pageBreakBefore w:val="0"/>
              <w:widowControl w:val="0"/>
              <w:kinsoku/>
              <w:wordWrap/>
              <w:overflowPunct/>
              <w:topLinePunct w:val="0"/>
              <w:autoSpaceDE/>
              <w:autoSpaceDN/>
              <w:bidi w:val="0"/>
              <w:adjustRightInd/>
              <w:snapToGrid/>
              <w:spacing w:after="200" w:line="276" w:lineRule="auto"/>
              <w:ind w:firstLine="0" w:firstLineChars="0"/>
              <w:jc w:val="center"/>
              <w:textAlignment w:val="auto"/>
              <w:rPr>
                <w:rFonts w:hint="eastAsia"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视频监控设备</w:t>
            </w:r>
          </w:p>
        </w:tc>
        <w:tc>
          <w:tcPr>
            <w:tcW w:w="1701" w:type="pct"/>
          </w:tcPr>
          <w:p>
            <w:pPr>
              <w:keepNext w:val="0"/>
              <w:keepLines w:val="0"/>
              <w:pageBreakBefore w:val="0"/>
              <w:widowControl w:val="0"/>
              <w:kinsoku/>
              <w:wordWrap/>
              <w:overflowPunct/>
              <w:topLinePunct w:val="0"/>
              <w:autoSpaceDE/>
              <w:autoSpaceDN/>
              <w:bidi w:val="0"/>
              <w:adjustRightInd/>
              <w:snapToGrid/>
              <w:spacing w:after="200" w:line="276" w:lineRule="auto"/>
              <w:ind w:firstLine="0" w:firstLineChars="0"/>
              <w:jc w:val="center"/>
              <w:textAlignment w:val="auto"/>
              <w:rPr>
                <w:rFonts w:hint="default"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right"/>
        </w:trPr>
        <w:tc>
          <w:tcPr>
            <w:tcW w:w="940" w:type="pct"/>
          </w:tcPr>
          <w:p>
            <w:pPr>
              <w:keepNext w:val="0"/>
              <w:keepLines w:val="0"/>
              <w:pageBreakBefore w:val="0"/>
              <w:widowControl w:val="0"/>
              <w:kinsoku/>
              <w:wordWrap/>
              <w:overflowPunct/>
              <w:topLinePunct w:val="0"/>
              <w:autoSpaceDE/>
              <w:autoSpaceDN/>
              <w:bidi w:val="0"/>
              <w:adjustRightInd/>
              <w:snapToGrid/>
              <w:spacing w:after="200" w:line="276" w:lineRule="auto"/>
              <w:ind w:firstLine="0" w:firstLineChars="0"/>
              <w:jc w:val="center"/>
              <w:textAlignment w:val="auto"/>
              <w:rPr>
                <w:rFonts w:hint="eastAsia"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4</w:t>
            </w:r>
          </w:p>
        </w:tc>
        <w:tc>
          <w:tcPr>
            <w:tcW w:w="2358" w:type="pct"/>
          </w:tcPr>
          <w:p>
            <w:pPr>
              <w:keepNext w:val="0"/>
              <w:keepLines w:val="0"/>
              <w:pageBreakBefore w:val="0"/>
              <w:widowControl w:val="0"/>
              <w:kinsoku/>
              <w:wordWrap/>
              <w:overflowPunct/>
              <w:topLinePunct w:val="0"/>
              <w:autoSpaceDE/>
              <w:autoSpaceDN/>
              <w:bidi w:val="0"/>
              <w:adjustRightInd/>
              <w:snapToGrid/>
              <w:spacing w:after="200" w:line="276" w:lineRule="auto"/>
              <w:ind w:firstLine="0" w:firstLineChars="0"/>
              <w:jc w:val="center"/>
              <w:textAlignment w:val="auto"/>
              <w:rPr>
                <w:rFonts w:hint="eastAsia"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一卡通系统</w:t>
            </w:r>
          </w:p>
        </w:tc>
        <w:tc>
          <w:tcPr>
            <w:tcW w:w="1701" w:type="pct"/>
          </w:tcPr>
          <w:p>
            <w:pPr>
              <w:keepNext w:val="0"/>
              <w:keepLines w:val="0"/>
              <w:pageBreakBefore w:val="0"/>
              <w:widowControl w:val="0"/>
              <w:kinsoku/>
              <w:wordWrap/>
              <w:overflowPunct/>
              <w:topLinePunct w:val="0"/>
              <w:autoSpaceDE/>
              <w:autoSpaceDN/>
              <w:bidi w:val="0"/>
              <w:adjustRightInd/>
              <w:snapToGrid/>
              <w:spacing w:after="200" w:line="276" w:lineRule="auto"/>
              <w:ind w:firstLine="0" w:firstLineChars="0"/>
              <w:jc w:val="center"/>
              <w:textAlignment w:val="auto"/>
              <w:rPr>
                <w:rFonts w:hint="default"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right"/>
        </w:trPr>
        <w:tc>
          <w:tcPr>
            <w:tcW w:w="940" w:type="pct"/>
          </w:tcPr>
          <w:p>
            <w:pPr>
              <w:keepNext w:val="0"/>
              <w:keepLines w:val="0"/>
              <w:pageBreakBefore w:val="0"/>
              <w:widowControl w:val="0"/>
              <w:kinsoku/>
              <w:wordWrap/>
              <w:overflowPunct/>
              <w:topLinePunct w:val="0"/>
              <w:autoSpaceDE/>
              <w:autoSpaceDN/>
              <w:bidi w:val="0"/>
              <w:adjustRightInd/>
              <w:snapToGrid/>
              <w:spacing w:after="200" w:line="276" w:lineRule="auto"/>
              <w:ind w:firstLine="0" w:firstLineChars="0"/>
              <w:jc w:val="center"/>
              <w:textAlignment w:val="auto"/>
              <w:rPr>
                <w:rFonts w:hint="eastAsia"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5</w:t>
            </w:r>
          </w:p>
        </w:tc>
        <w:tc>
          <w:tcPr>
            <w:tcW w:w="2358" w:type="pct"/>
          </w:tcPr>
          <w:p>
            <w:pPr>
              <w:keepNext w:val="0"/>
              <w:keepLines w:val="0"/>
              <w:pageBreakBefore w:val="0"/>
              <w:widowControl w:val="0"/>
              <w:kinsoku/>
              <w:wordWrap/>
              <w:overflowPunct/>
              <w:topLinePunct w:val="0"/>
              <w:autoSpaceDE/>
              <w:autoSpaceDN/>
              <w:bidi w:val="0"/>
              <w:adjustRightInd/>
              <w:snapToGrid/>
              <w:spacing w:after="200" w:line="276" w:lineRule="auto"/>
              <w:ind w:firstLine="0" w:firstLineChars="0"/>
              <w:jc w:val="center"/>
              <w:textAlignment w:val="auto"/>
              <w:rPr>
                <w:rFonts w:hint="default"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广播系统</w:t>
            </w:r>
          </w:p>
        </w:tc>
        <w:tc>
          <w:tcPr>
            <w:tcW w:w="1701" w:type="pct"/>
          </w:tcPr>
          <w:p>
            <w:pPr>
              <w:keepNext w:val="0"/>
              <w:keepLines w:val="0"/>
              <w:pageBreakBefore w:val="0"/>
              <w:widowControl w:val="0"/>
              <w:kinsoku/>
              <w:wordWrap/>
              <w:overflowPunct/>
              <w:topLinePunct w:val="0"/>
              <w:autoSpaceDE/>
              <w:autoSpaceDN/>
              <w:bidi w:val="0"/>
              <w:adjustRightInd/>
              <w:snapToGrid/>
              <w:spacing w:after="200" w:line="276" w:lineRule="auto"/>
              <w:ind w:firstLine="0" w:firstLineChars="0"/>
              <w:jc w:val="center"/>
              <w:textAlignment w:val="auto"/>
              <w:rPr>
                <w:rFonts w:hint="default"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right"/>
        </w:trPr>
        <w:tc>
          <w:tcPr>
            <w:tcW w:w="940" w:type="pct"/>
          </w:tcPr>
          <w:p>
            <w:pPr>
              <w:keepNext w:val="0"/>
              <w:keepLines w:val="0"/>
              <w:pageBreakBefore w:val="0"/>
              <w:widowControl w:val="0"/>
              <w:kinsoku/>
              <w:wordWrap/>
              <w:overflowPunct/>
              <w:topLinePunct w:val="0"/>
              <w:autoSpaceDE/>
              <w:autoSpaceDN/>
              <w:bidi w:val="0"/>
              <w:adjustRightInd/>
              <w:snapToGrid/>
              <w:spacing w:after="200" w:line="276" w:lineRule="auto"/>
              <w:ind w:firstLine="0" w:firstLineChars="0"/>
              <w:jc w:val="center"/>
              <w:textAlignment w:val="auto"/>
              <w:rPr>
                <w:rFonts w:hint="default"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6</w:t>
            </w:r>
          </w:p>
        </w:tc>
        <w:tc>
          <w:tcPr>
            <w:tcW w:w="2358" w:type="pct"/>
            <w:vAlign w:val="top"/>
          </w:tcPr>
          <w:p>
            <w:pPr>
              <w:keepNext w:val="0"/>
              <w:keepLines w:val="0"/>
              <w:pageBreakBefore w:val="0"/>
              <w:widowControl w:val="0"/>
              <w:kinsoku/>
              <w:wordWrap/>
              <w:overflowPunct/>
              <w:topLinePunct w:val="0"/>
              <w:autoSpaceDE/>
              <w:autoSpaceDN/>
              <w:bidi w:val="0"/>
              <w:adjustRightInd/>
              <w:snapToGrid/>
              <w:spacing w:after="200" w:line="276" w:lineRule="auto"/>
              <w:ind w:firstLine="0" w:firstLineChars="0"/>
              <w:jc w:val="center"/>
              <w:textAlignment w:val="auto"/>
              <w:rPr>
                <w:rFonts w:hint="eastAsia"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停车场管理系统</w:t>
            </w:r>
          </w:p>
        </w:tc>
        <w:tc>
          <w:tcPr>
            <w:tcW w:w="1701" w:type="pct"/>
            <w:vAlign w:val="top"/>
          </w:tcPr>
          <w:p>
            <w:pPr>
              <w:keepNext w:val="0"/>
              <w:keepLines w:val="0"/>
              <w:pageBreakBefore w:val="0"/>
              <w:widowControl w:val="0"/>
              <w:kinsoku/>
              <w:wordWrap/>
              <w:overflowPunct/>
              <w:topLinePunct w:val="0"/>
              <w:autoSpaceDE/>
              <w:autoSpaceDN/>
              <w:bidi w:val="0"/>
              <w:adjustRightInd/>
              <w:snapToGrid/>
              <w:spacing w:after="200" w:line="276" w:lineRule="auto"/>
              <w:ind w:firstLine="0" w:firstLineChars="0"/>
              <w:jc w:val="center"/>
              <w:textAlignment w:val="auto"/>
              <w:rPr>
                <w:rFonts w:hint="eastAsia"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right"/>
        </w:trPr>
        <w:tc>
          <w:tcPr>
            <w:tcW w:w="940" w:type="pct"/>
          </w:tcPr>
          <w:p>
            <w:pPr>
              <w:keepNext w:val="0"/>
              <w:keepLines w:val="0"/>
              <w:pageBreakBefore w:val="0"/>
              <w:widowControl w:val="0"/>
              <w:kinsoku/>
              <w:wordWrap/>
              <w:overflowPunct/>
              <w:topLinePunct w:val="0"/>
              <w:autoSpaceDE/>
              <w:autoSpaceDN/>
              <w:bidi w:val="0"/>
              <w:adjustRightInd/>
              <w:snapToGrid/>
              <w:spacing w:after="200" w:line="276" w:lineRule="auto"/>
              <w:ind w:firstLine="0" w:firstLineChars="0"/>
              <w:jc w:val="center"/>
              <w:textAlignment w:val="auto"/>
              <w:rPr>
                <w:rFonts w:hint="eastAsia"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7</w:t>
            </w:r>
          </w:p>
        </w:tc>
        <w:tc>
          <w:tcPr>
            <w:tcW w:w="2358" w:type="pct"/>
          </w:tcPr>
          <w:p>
            <w:pPr>
              <w:keepNext w:val="0"/>
              <w:keepLines w:val="0"/>
              <w:pageBreakBefore w:val="0"/>
              <w:widowControl w:val="0"/>
              <w:kinsoku/>
              <w:wordWrap/>
              <w:overflowPunct/>
              <w:topLinePunct w:val="0"/>
              <w:autoSpaceDE/>
              <w:autoSpaceDN/>
              <w:bidi w:val="0"/>
              <w:adjustRightInd/>
              <w:snapToGrid/>
              <w:spacing w:after="200" w:line="276" w:lineRule="auto"/>
              <w:ind w:firstLine="0" w:firstLineChars="0"/>
              <w:jc w:val="center"/>
              <w:textAlignment w:val="auto"/>
              <w:rPr>
                <w:rFonts w:hint="eastAsia"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巡更系统</w:t>
            </w:r>
          </w:p>
        </w:tc>
        <w:tc>
          <w:tcPr>
            <w:tcW w:w="1701" w:type="pct"/>
          </w:tcPr>
          <w:p>
            <w:pPr>
              <w:keepNext w:val="0"/>
              <w:keepLines w:val="0"/>
              <w:pageBreakBefore w:val="0"/>
              <w:widowControl w:val="0"/>
              <w:kinsoku/>
              <w:wordWrap/>
              <w:overflowPunct/>
              <w:topLinePunct w:val="0"/>
              <w:autoSpaceDE/>
              <w:autoSpaceDN/>
              <w:bidi w:val="0"/>
              <w:adjustRightInd/>
              <w:snapToGrid/>
              <w:spacing w:after="200" w:line="276" w:lineRule="auto"/>
              <w:ind w:firstLine="0" w:firstLineChars="0"/>
              <w:jc w:val="center"/>
              <w:textAlignment w:val="auto"/>
              <w:rPr>
                <w:rFonts w:hint="default"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5%</w:t>
            </w:r>
          </w:p>
        </w:tc>
      </w:tr>
    </w:tbl>
    <w:p>
      <w:pPr>
        <w:pStyle w:val="3"/>
        <w:bidi w:val="0"/>
        <w:rPr>
          <w:rFonts w:hint="default"/>
          <w:lang w:val="en-US" w:eastAsia="zh-CN"/>
        </w:rPr>
      </w:pPr>
      <w:bookmarkStart w:id="30" w:name="_Toc26120"/>
      <w:r>
        <w:rPr>
          <w:rFonts w:hint="eastAsia"/>
          <w:lang w:val="en-US" w:eastAsia="zh-CN"/>
        </w:rPr>
        <w:t>5.2采购清单</w:t>
      </w:r>
      <w:bookmarkEnd w:id="30"/>
    </w:p>
    <w:tbl>
      <w:tblPr>
        <w:tblStyle w:val="15"/>
        <w:tblW w:w="5790" w:type="pct"/>
        <w:tblInd w:w="-7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4"/>
        <w:gridCol w:w="1530"/>
        <w:gridCol w:w="950"/>
        <w:gridCol w:w="1101"/>
        <w:gridCol w:w="3130"/>
        <w:gridCol w:w="594"/>
        <w:gridCol w:w="594"/>
        <w:gridCol w:w="599"/>
        <w:gridCol w:w="1172"/>
        <w:gridCol w:w="1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24"/>
                <w:szCs w:val="24"/>
                <w:u w:val="none"/>
                <w:lang w:val="en-US" w:eastAsia="zh-CN" w:bidi="ar"/>
              </w:rPr>
              <w:t>重庆汽车2025至2026年度弱电系统维保项目维护项清单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仿宋_GB2312" w:hAnsi="仿宋_GB2312" w:eastAsia="仿宋_GB2312" w:cs="仿宋_GB2312"/>
                <w:i w:val="0"/>
                <w:iCs w:val="0"/>
                <w:color w:val="000000"/>
                <w:sz w:val="18"/>
                <w:szCs w:val="18"/>
                <w:u w:val="none"/>
                <w:lang w:val="en-US"/>
              </w:rPr>
            </w:pPr>
            <w:r>
              <w:rPr>
                <w:rFonts w:hint="eastAsia" w:ascii="仿宋_GB2312" w:hAnsi="仿宋_GB2312" w:eastAsia="仿宋_GB2312" w:cs="仿宋_GB2312"/>
                <w:i w:val="0"/>
                <w:iCs w:val="0"/>
                <w:color w:val="000000"/>
                <w:kern w:val="0"/>
                <w:sz w:val="18"/>
                <w:szCs w:val="18"/>
                <w:u w:val="none"/>
                <w:lang w:val="en-US" w:eastAsia="zh-CN" w:bidi="ar"/>
              </w:rPr>
              <w:t>说明：</w:t>
            </w:r>
            <w:r>
              <w:rPr>
                <w:rFonts w:hint="eastAsia" w:ascii="仿宋_GB2312" w:hAnsi="仿宋_GB2312" w:cs="仿宋_GB2312"/>
                <w:i w:val="0"/>
                <w:iCs w:val="0"/>
                <w:color w:val="000000"/>
                <w:kern w:val="0"/>
                <w:sz w:val="18"/>
                <w:szCs w:val="18"/>
                <w:u w:val="none"/>
                <w:lang w:val="en-US" w:eastAsia="zh-CN" w:bidi="ar"/>
              </w:rPr>
              <w:t>1、</w:t>
            </w:r>
            <w:r>
              <w:rPr>
                <w:rFonts w:hint="eastAsia" w:ascii="仿宋_GB2312" w:hAnsi="仿宋_GB2312" w:eastAsia="仿宋_GB2312" w:cs="仿宋_GB2312"/>
                <w:i w:val="0"/>
                <w:iCs w:val="0"/>
                <w:color w:val="000000"/>
                <w:kern w:val="0"/>
                <w:sz w:val="18"/>
                <w:szCs w:val="18"/>
                <w:u w:val="none"/>
                <w:lang w:val="en-US" w:eastAsia="zh-CN" w:bidi="ar"/>
              </w:rPr>
              <w:t>含增值税专用发票，设备材料类税率13%，人工服务类税率6%。</w:t>
            </w:r>
            <w:r>
              <w:rPr>
                <w:rFonts w:hint="eastAsia" w:ascii="仿宋_GB2312" w:hAnsi="仿宋_GB2312" w:cs="仿宋_GB2312"/>
                <w:i w:val="0"/>
                <w:iCs w:val="0"/>
                <w:color w:val="000000"/>
                <w:kern w:val="0"/>
                <w:sz w:val="18"/>
                <w:szCs w:val="18"/>
                <w:u w:val="none"/>
                <w:lang w:val="en-US" w:eastAsia="zh-CN" w:bidi="ar"/>
              </w:rPr>
              <w:t>2、有品牌限定的按限定品牌投标。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一、综合布线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序号</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项目</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cs="仿宋_GB2312"/>
                <w:b/>
                <w:bCs/>
                <w:i w:val="0"/>
                <w:iCs w:val="0"/>
                <w:color w:val="000000"/>
                <w:kern w:val="0"/>
                <w:sz w:val="18"/>
                <w:szCs w:val="18"/>
                <w:u w:val="none"/>
                <w:lang w:val="en-US" w:eastAsia="zh-CN" w:bidi="ar"/>
              </w:rPr>
              <w:t>规格</w:t>
            </w:r>
            <w:r>
              <w:rPr>
                <w:rFonts w:hint="eastAsia" w:ascii="仿宋_GB2312" w:hAnsi="仿宋_GB2312" w:eastAsia="仿宋_GB2312" w:cs="仿宋_GB2312"/>
                <w:b/>
                <w:bCs/>
                <w:i w:val="0"/>
                <w:iCs w:val="0"/>
                <w:color w:val="000000"/>
                <w:kern w:val="0"/>
                <w:sz w:val="18"/>
                <w:szCs w:val="18"/>
                <w:u w:val="none"/>
                <w:lang w:val="en-US" w:eastAsia="zh-CN" w:bidi="ar"/>
              </w:rPr>
              <w:t>型号</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default" w:ascii="仿宋_GB2312" w:hAnsi="仿宋_GB2312" w:eastAsia="仿宋_GB2312" w:cs="仿宋_GB2312"/>
                <w:b/>
                <w:bCs/>
                <w:i w:val="0"/>
                <w:iCs w:val="0"/>
                <w:color w:val="000000"/>
                <w:sz w:val="18"/>
                <w:szCs w:val="18"/>
                <w:u w:val="none"/>
                <w:lang w:val="en-US"/>
              </w:rPr>
            </w:pPr>
            <w:r>
              <w:rPr>
                <w:rFonts w:hint="eastAsia" w:ascii="仿宋_GB2312" w:hAnsi="仿宋_GB2312" w:cs="仿宋_GB2312"/>
                <w:b/>
                <w:bCs/>
                <w:i w:val="0"/>
                <w:iCs w:val="0"/>
                <w:color w:val="000000"/>
                <w:kern w:val="0"/>
                <w:sz w:val="18"/>
                <w:szCs w:val="18"/>
                <w:u w:val="none"/>
                <w:lang w:val="en-US" w:eastAsia="zh-CN" w:bidi="ar"/>
              </w:rPr>
              <w:t>参数/要求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单位</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数量</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税率</w:t>
            </w:r>
          </w:p>
        </w:tc>
        <w:tc>
          <w:tcPr>
            <w:tcW w:w="513"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不含税单价（元）</w:t>
            </w:r>
          </w:p>
        </w:tc>
        <w:tc>
          <w:tcPr>
            <w:tcW w:w="455"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含税单价（元）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配线架</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六类24口</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理线架</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理线架</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大对数电话缆</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10对</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米</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大对数电话缆</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25对</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米</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电话线</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2芯电话线</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米</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超五类工程网线</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305米超五类非屏蔽网线（0.50±0.01mm）以上</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箱</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六类工程网线</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305米六类非屏蔽纯铜6类千兆双绞线。UTP CAT6 工程级双绞线;支持速率≥1Cbps,支持 PDP供电，线规符合 AWG23,单股导体线径三0.55m，绝缘层为高究度聚乙烯(HDPP)，外护为聚氯乙烯(PyC)，骨芯结构为十字龙骨芯，运行温度范围优于-20至 60℃，安装温度范围优于(含)0至 50C。</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箱</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六类低烟无卤网线</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305米六类非屏蔽低烟无卤6类千兆阻燃双绞线</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箱</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六类屏蔽网线</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305米六类屏蔽低烟无卤6类千兆阻燃双绞线</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箱</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1.10 </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网络模块</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超五类网络免打模块</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1.11</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网络模块</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六类网络免打模块</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1.12 </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网络模块</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六类屏蔽网络免打模块</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1.13</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网络模块面板</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通用超五/六/七类86型网络模块单口面板</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1.14 </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网络模块面板</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通用超五/六/七类86型网络模块双口面板</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1.15</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网络模块面板</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通用超五/六/七类86型网络模块四口面板</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1.16 </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网线跳线</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5 米超五类非屏蔽双绞线跳线</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根</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1.17</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网线跳线</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2 米超五类非屏蔽双绞线跳线</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根</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1.18 </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网线跳线</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5 米六类非屏蔽双绞线跳线</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根</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1.19</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网线跳线</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2 米六类非屏蔽双绞线跳线</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根</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1.20 </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光纤</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光缆6芯、单模</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米</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1.21</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光纤</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光缆12芯、单模</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米</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1.22 </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光纤熔接包</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光纤防水熔接包</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1.23</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耦合器</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ST-ST头</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1.24 </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光端盒</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24口</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1.25</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光端盒</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8口</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1.26 </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光纤跳线</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纤跳线 SC-LC，FC-LC,LC-LC单模3M</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根</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1.27</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光纤跳线</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纤跳线 SC-LC，FC-LC,LC-LC单模5M</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根</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1.28 </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光纤跳线</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纤跳线 SC-LC，FC-LC,LC-LC单模10M</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根</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1.29</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HDMI线</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5米HDMI线2.0版 4K60Hz数字高清线</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根</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1.30 </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HDMI线</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10米HDMI线2.0版 4K60Hz数字高清线</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根</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1.31</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HDMI线</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15米HDMI线2.0版 4K60Hz数字高清线</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根</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1.32 </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电源线</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RVV2*1.0平方护套电源线</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米</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1.33</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电源线</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RVV2*1.5平方护套电源线</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米</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1.34 </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电源线</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RVV3*2.5平方护套电源线</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米</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1.35</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机柜</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0.6米  600*550*400mm</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1.36 </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机柜</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0.35米  350*550*400mm</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1.37</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PDU</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10A 8孔 防雷PDU配线长度3米</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1.38 </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插线板</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知名品牌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8位五孔总控 3米 配线3*1.0mm以上</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1.39</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插座</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86型5孔明装插座</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1.40 </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底盒</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86型明装底盒</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1.41</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投影支架</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加长型1.5投影吊装支架</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1.42 </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接线端子</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接线端子 100 个/盒</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盒</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1.43</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RJ45 头</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超五类非屏蔽水晶头100 个/盒</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盒</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1.44 </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RJ45 头</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六类非屏蔽水晶头100 个/盒</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盒</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1.45</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RJ46 头</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六类屏蔽水晶头101 个/盒</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盒</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1.46 </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PVC线槽</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60MM*40MM线槽</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米</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1.47</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PVC线槽</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30MM*19MM线槽</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米</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1.48 </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PVC线槽</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24MM*14MM线槽</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米</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1.49</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PVC线管</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Style w:val="32"/>
                <w:rFonts w:hint="eastAsia" w:ascii="仿宋_GB2312" w:hAnsi="仿宋_GB2312" w:eastAsia="仿宋_GB2312" w:cs="仿宋_GB2312"/>
                <w:sz w:val="18"/>
                <w:szCs w:val="18"/>
                <w:lang w:val="en-US" w:eastAsia="zh-CN" w:bidi="ar"/>
              </w:rPr>
              <w:t>ф</w:t>
            </w:r>
            <w:r>
              <w:rPr>
                <w:rFonts w:hint="eastAsia" w:ascii="仿宋_GB2312" w:hAnsi="仿宋_GB2312" w:eastAsia="仿宋_GB2312" w:cs="仿宋_GB2312"/>
                <w:i w:val="0"/>
                <w:iCs w:val="0"/>
                <w:color w:val="000000"/>
                <w:kern w:val="0"/>
                <w:sz w:val="18"/>
                <w:szCs w:val="18"/>
                <w:u w:val="none"/>
                <w:lang w:val="en-US" w:eastAsia="zh-CN" w:bidi="ar"/>
              </w:rPr>
              <w:t>25MM PVC线管</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米</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1.50 </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金属桥架</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100*75桥架</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米</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1.51</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金属桥架</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50*50桥架</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米</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1.52 </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镀锌铁管</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Style w:val="32"/>
                <w:rFonts w:hint="eastAsia" w:ascii="仿宋_GB2312" w:hAnsi="仿宋_GB2312" w:eastAsia="仿宋_GB2312" w:cs="仿宋_GB2312"/>
                <w:sz w:val="18"/>
                <w:szCs w:val="18"/>
                <w:lang w:val="en-US" w:eastAsia="zh-CN" w:bidi="ar"/>
              </w:rPr>
              <w:t>ф</w:t>
            </w:r>
            <w:r>
              <w:rPr>
                <w:rFonts w:hint="eastAsia" w:ascii="仿宋_GB2312" w:hAnsi="仿宋_GB2312" w:eastAsia="仿宋_GB2312" w:cs="仿宋_GB2312"/>
                <w:i w:val="0"/>
                <w:iCs w:val="0"/>
                <w:color w:val="000000"/>
                <w:kern w:val="0"/>
                <w:sz w:val="18"/>
                <w:szCs w:val="18"/>
                <w:u w:val="none"/>
                <w:lang w:val="en-US" w:eastAsia="zh-CN" w:bidi="ar"/>
              </w:rPr>
              <w:t>20MM镀锌铁管</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米</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1.53</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镀锌铁管</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Style w:val="32"/>
                <w:rFonts w:hint="eastAsia" w:ascii="仿宋_GB2312" w:hAnsi="仿宋_GB2312" w:eastAsia="仿宋_GB2312" w:cs="仿宋_GB2312"/>
                <w:sz w:val="18"/>
                <w:szCs w:val="18"/>
                <w:lang w:val="en-US" w:eastAsia="zh-CN" w:bidi="ar"/>
              </w:rPr>
              <w:t>ф</w:t>
            </w:r>
            <w:r>
              <w:rPr>
                <w:rFonts w:hint="eastAsia" w:ascii="仿宋_GB2312" w:hAnsi="仿宋_GB2312" w:eastAsia="仿宋_GB2312" w:cs="仿宋_GB2312"/>
                <w:i w:val="0"/>
                <w:iCs w:val="0"/>
                <w:color w:val="000000"/>
                <w:kern w:val="0"/>
                <w:sz w:val="18"/>
                <w:szCs w:val="18"/>
                <w:u w:val="none"/>
                <w:lang w:val="en-US" w:eastAsia="zh-CN" w:bidi="ar"/>
              </w:rPr>
              <w:t>25MM镀锌铁管</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米</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1.54 </w:t>
            </w:r>
          </w:p>
        </w:tc>
        <w:tc>
          <w:tcPr>
            <w:tcW w:w="67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布线费</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信息点网线布线</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点</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1.55</w:t>
            </w: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电话点布线</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点</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1.56 </w:t>
            </w: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车间、生产线金属桥架安装服务</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米</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1.57</w:t>
            </w: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车间、生产线穿线管安装服务</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米</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1.58 </w:t>
            </w: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光纤布线</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米</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1.59</w:t>
            </w: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光纤熔接</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芯</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1.60 </w:t>
            </w: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18"/>
                <w:szCs w:val="18"/>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光纤熔接：不足12芯按次计算</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次</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1.61</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人工服务费</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一般人工服务费</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人/天</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1.62 </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特殊工具</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电焊机（含具备资质的操作人员）</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次</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1.63</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特殊工具</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登高车：5天/次，支持14米登高。</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次</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4031"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小计</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二、网络设备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序号</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项目</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型号</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仿宋_GB2312" w:hAnsi="仿宋_GB2312" w:eastAsia="仿宋_GB2312" w:cs="仿宋_GB2312"/>
                <w:b/>
                <w:bCs/>
                <w:i w:val="0"/>
                <w:iCs w:val="0"/>
                <w:color w:val="000000"/>
                <w:sz w:val="18"/>
                <w:szCs w:val="18"/>
                <w:u w:val="none"/>
              </w:rPr>
            </w:pPr>
            <w:r>
              <w:rPr>
                <w:rFonts w:hint="eastAsia" w:ascii="仿宋_GB2312" w:hAnsi="仿宋_GB2312" w:cs="仿宋_GB2312"/>
                <w:b/>
                <w:bCs/>
                <w:i w:val="0"/>
                <w:iCs w:val="0"/>
                <w:color w:val="000000"/>
                <w:kern w:val="0"/>
                <w:sz w:val="18"/>
                <w:szCs w:val="18"/>
                <w:u w:val="none"/>
                <w:lang w:val="en-US" w:eastAsia="zh-CN" w:bidi="ar"/>
              </w:rPr>
              <w:t>规格/参数/要求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单位</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数量</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税率</w:t>
            </w:r>
          </w:p>
        </w:tc>
        <w:tc>
          <w:tcPr>
            <w:tcW w:w="513"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不含税单价（元）</w:t>
            </w:r>
          </w:p>
        </w:tc>
        <w:tc>
          <w:tcPr>
            <w:tcW w:w="455"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含税单价（元）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48口接入交换机</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H3C</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S5130V2-52P-LI</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 性能：整机交换容量 ≥496Gbps；转发性能 ≥126Mpps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 端口：≥48千兆电+4千兆SFP</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 MAC地址表≥16K，IPv4路由表容量≥512，ARP≥1K</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 . 支持IPv4/IPv6静态路由，支持RIP/RIPng，OSPFV2/V3</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 交换机支持≥9台物理设备虚拟化技术，支持完善的堆叠分裂检测机制，堆叠分裂后能自动完成MAC和IP地址的重配置，无需手动干预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 实现ERPS功能，能够快速阻断环路，链路收敛时间≤50ms</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 xml:space="preserve">7. 实现CPU保护功能，能限制非法报文对CPU的攻击，保护交换机在各种环境下稳定工作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8.支持RRPP（快速环网保护协议），环网故障恢复时间不超过50ms，支持Smartlink，支持PVST功能；</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24口接入交换机</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H3C</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S5130V2-28P-LI</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 性能：整机交换容量 ≥336Gbps；转发性能 ≥108Mpps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 端口：≥24千兆电+4千兆SFP</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 MAC地址表≥16K，IPv4路由表容量≥512，ARP≥1K</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 . 支持IPv4/IPv6静态路由，支持RIP/RIPng，OSPFV2/V3</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 交换机支持≥9台物理设备虚拟化技术，支持完善的堆叠分裂检测机制，堆叠分裂后能自动完成MAC和IP地址的重配置，无需手动干预</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 实现ERPS功能，能够快速阻断环路，链路收敛时间≤50ms</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 xml:space="preserve">7. 实现CPU保护功能，能限制非法报文对CPU的攻击，保护交换机在各种环境下稳定工作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8.支持RRPP（快速环网保护协议），环网故障恢复时间不超过50ms，支持Smartlink，支持PVST功能；</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9. 支持SNMP V1/V2/V3、RMON、SSHV2；支持端口休眠，关闭没有应用的端口，节省能源</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16口接入交换机</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H3C</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S5130V2-20P-LI</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1．性能：整机交换容量 ≥336Gbps；转发性能 ≥96Mpps</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2.固定接口：16*10/100/1000BASE-T电口+4*1000BASE-X SFP端口；</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3.支持基于端口的VLAN，支持QinQ、灵活QinQ；</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4.支持IPv4/IPv6静态路由，支持RIP/RIPng，OSPF v2/v3，支持组播VLAN；</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5.支持STP/RSTP/MSTP协议</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6.支持命令行接口（CLI）配置，支持Telnet远程配置，支持通过Console口配置；</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8口接入交换机</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H3C</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S1208V</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1．性能：整机交换容量 ≥16Gbps；转发性能 ≥11.9Mpps</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2.固定端口：8个10/100/1000M以太网端口，背板交换容量：16Gbps，转发能力：11.9Mpps；</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5口接入交换机</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H3C</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S1205V</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1．性能：整机交换容量 ≥10Gbps；转发性能 ≥7.4Mpps </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2.固定端口：5个10/100/1000M以太网端口，背板交换容量：10Gbps，转发能力：7.4Mpps；</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16口POE交换机</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H3C</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S1218F-HPWR</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1．性能：整机交换容量 ≥36Gbps；转发性能 ≥28.8Mpps</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2.固定端口：16个10/100/1000Base-T电口(包含两个uplink口，可作为上行口)，2个1000Base-X SFP端口（uplink）；支持PoE+，整机最大输出：225W，单端口最大供电功率 30W；</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2.7</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8口POE交换机</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H3C</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S1210F-HPWR</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1．性能：背板交换容量 ≥20Gbps，转发能力 ≥14Mpps</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2.固定端口：8个10/100/1000M以太网端口，2个1000BASE-X SFP端口；PoE 供电功率≥125W;</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2.8</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光纤收发器</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H3C</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FC01G-3A/3B</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一光一电千兆单模单纤收发器</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2.9</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光纤收发器</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H3C</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FC01G-3A+FC04G-3B</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一光四电千兆单模单纤收发器</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2.10 </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光纤收发器</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H3C</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FC01-20A/B</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一光一电百兆单模单纤收发器</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2.11 </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千兆单模</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H3C</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SFP-GE-LX-SM1310-D</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千兆1310nm,10km,LC光模块</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块</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2.12 </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千兆多模</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H3C</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SFP-GE-LX-MM850-D</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千兆850nm,0.55km,LC光模块</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块</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2.13 </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无线 AP 授权</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H3C</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LIS-WX-8-BE</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H3C WX系列控制器无线AP管理授权</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2.14 </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无线AP</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H3C</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EWP-WA6520-FIT</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内置天线双频四流802.11ax/ac/n无线接入点</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4031"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小计</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三、视频监控设备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序号</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项目</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型号</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仿宋_GB2312" w:hAnsi="仿宋_GB2312" w:eastAsia="仿宋_GB2312" w:cs="仿宋_GB2312"/>
                <w:b/>
                <w:bCs/>
                <w:i w:val="0"/>
                <w:iCs w:val="0"/>
                <w:color w:val="000000"/>
                <w:sz w:val="18"/>
                <w:szCs w:val="18"/>
                <w:u w:val="none"/>
              </w:rPr>
            </w:pPr>
            <w:r>
              <w:rPr>
                <w:rFonts w:hint="eastAsia" w:ascii="仿宋_GB2312" w:hAnsi="仿宋_GB2312" w:cs="仿宋_GB2312"/>
                <w:b/>
                <w:bCs/>
                <w:i w:val="0"/>
                <w:iCs w:val="0"/>
                <w:color w:val="000000"/>
                <w:kern w:val="0"/>
                <w:sz w:val="18"/>
                <w:szCs w:val="18"/>
                <w:u w:val="none"/>
                <w:lang w:val="en-US" w:eastAsia="zh-CN" w:bidi="ar"/>
              </w:rPr>
              <w:t>规格/参数/要求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单位</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数量</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税率</w:t>
            </w:r>
          </w:p>
        </w:tc>
        <w:tc>
          <w:tcPr>
            <w:tcW w:w="513"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不含税单价（元）</w:t>
            </w:r>
          </w:p>
        </w:tc>
        <w:tc>
          <w:tcPr>
            <w:tcW w:w="455"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含税单价（元）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监控支架</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海康</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适配摄像机型</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适配摄像机型</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球机吊装支架加长杆</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海康</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通用吊装支架</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150-300cm伸缩范围，匹配现有设备及环境</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3.3</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室外壁挂监控箱</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海康</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DS-CCU400</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室外防水防尘布线抱杆箱400*500*300mm DS-CCU400</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3.4</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摄像机电源</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海康/小耳朵</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DC12V/2A 监控摄像头防水电源</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摄像机电源</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海康/小耳朵</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AC24V/3A 监控摄像头防水电源</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摄像机</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海康</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DS-2CD3T46WDV3-I3</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400万像素枪机，支持POE供电，可接入现有监控系统，含配套电源、支架</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3.7</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摄像机</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海康</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DS-2CD3346WDV3-I</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400万像素半球机，支持POE供电，可接入现有监控系统，含配套电源、支架</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摄像机</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海康</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DS-2DC4423IW-DE</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400万像素4寸球机，支持POE供电，可接入现有监控系统，含配套电源、支架</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3.9</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监控硬盘</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希捷/西数</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监控级4T硬盘</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3.10 </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监控硬盘</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希捷/西数</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监控级8T硬盘</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3.11</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POE电源分离器</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海康/小耳朵</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监控电源POE标准隔离型分离器</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3.12 </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视频监视器维修</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43寸液晶监视器维修</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次</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4031"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小计</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四、一卡通系统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序号</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项目</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型号</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仿宋_GB2312" w:hAnsi="仿宋_GB2312" w:eastAsia="仿宋_GB2312" w:cs="仿宋_GB2312"/>
                <w:b/>
                <w:bCs/>
                <w:i w:val="0"/>
                <w:iCs w:val="0"/>
                <w:color w:val="000000"/>
                <w:sz w:val="18"/>
                <w:szCs w:val="18"/>
                <w:u w:val="none"/>
              </w:rPr>
            </w:pPr>
            <w:r>
              <w:rPr>
                <w:rFonts w:hint="eastAsia" w:ascii="仿宋_GB2312" w:hAnsi="仿宋_GB2312" w:cs="仿宋_GB2312"/>
                <w:b/>
                <w:bCs/>
                <w:i w:val="0"/>
                <w:iCs w:val="0"/>
                <w:color w:val="000000"/>
                <w:kern w:val="0"/>
                <w:sz w:val="18"/>
                <w:szCs w:val="18"/>
                <w:u w:val="none"/>
                <w:lang w:val="en-US" w:eastAsia="zh-CN" w:bidi="ar"/>
              </w:rPr>
              <w:t>规格/参数/要求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单位</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数量</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税率</w:t>
            </w:r>
          </w:p>
        </w:tc>
        <w:tc>
          <w:tcPr>
            <w:tcW w:w="513"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不含税单价（元）</w:t>
            </w:r>
          </w:p>
        </w:tc>
        <w:tc>
          <w:tcPr>
            <w:tcW w:w="455"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含税单价（元）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4.1</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员工白卡</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复旦</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S50</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IC白卡</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张</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4.2</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发卡器</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达实</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DAC FK4160</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达实 DAC FK4160</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4.3</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台式消费机</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达实</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DAC XF4870</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达实 DAC XF4870 32位</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4.4</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消费机软键盘</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达实</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适配现有设备</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张</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4031"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小计</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9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五、广播系统</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b/>
                <w:bCs/>
                <w:i w:val="0"/>
                <w:iCs w:val="0"/>
                <w:color w:val="000000"/>
                <w:sz w:val="18"/>
                <w:szCs w:val="1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b/>
                <w:bCs/>
                <w:i w:val="0"/>
                <w:iCs w:val="0"/>
                <w:color w:val="000000"/>
                <w:sz w:val="18"/>
                <w:szCs w:val="18"/>
                <w:u w:val="none"/>
              </w:rPr>
            </w:pPr>
          </w:p>
        </w:tc>
        <w:tc>
          <w:tcPr>
            <w:tcW w:w="1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b/>
                <w:bCs/>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b/>
                <w:bCs/>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b/>
                <w:bCs/>
                <w:i w:val="0"/>
                <w:iCs w:val="0"/>
                <w:color w:val="000000"/>
                <w:sz w:val="18"/>
                <w:szCs w:val="18"/>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b/>
                <w:bCs/>
                <w:i w:val="0"/>
                <w:iCs w:val="0"/>
                <w:color w:val="000000"/>
                <w:sz w:val="18"/>
                <w:szCs w:val="18"/>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b/>
                <w:bCs/>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序号</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项目</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型号</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仿宋_GB2312" w:hAnsi="仿宋_GB2312" w:eastAsia="仿宋_GB2312" w:cs="仿宋_GB2312"/>
                <w:b/>
                <w:bCs/>
                <w:i w:val="0"/>
                <w:iCs w:val="0"/>
                <w:color w:val="000000"/>
                <w:sz w:val="18"/>
                <w:szCs w:val="18"/>
                <w:u w:val="none"/>
              </w:rPr>
            </w:pPr>
            <w:r>
              <w:rPr>
                <w:rFonts w:hint="eastAsia" w:ascii="仿宋_GB2312" w:hAnsi="仿宋_GB2312" w:cs="仿宋_GB2312"/>
                <w:b/>
                <w:bCs/>
                <w:i w:val="0"/>
                <w:iCs w:val="0"/>
                <w:color w:val="000000"/>
                <w:kern w:val="0"/>
                <w:sz w:val="18"/>
                <w:szCs w:val="18"/>
                <w:u w:val="none"/>
                <w:lang w:val="en-US" w:eastAsia="zh-CN" w:bidi="ar"/>
              </w:rPr>
              <w:t>规格/参数/要求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单位</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数量</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税率</w:t>
            </w:r>
          </w:p>
        </w:tc>
        <w:tc>
          <w:tcPr>
            <w:tcW w:w="513"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不含税单价（元）</w:t>
            </w:r>
          </w:p>
        </w:tc>
        <w:tc>
          <w:tcPr>
            <w:tcW w:w="455"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含税单价（元）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CD播放器</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ITC</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T-6221</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5.2</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广播话筒</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ITC</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T-521A</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5.3</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节目定时器</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ITC</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T-6205</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5.4</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前置放大器</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ITC</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T-6201</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5.5</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数据转换IP终端</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ITC</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T-6713</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5.6</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音柱</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ITC</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T-804</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室外豪华型防水</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4031"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小计</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六、停车场管理系统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序号</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项目</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型号</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仿宋_GB2312" w:hAnsi="仿宋_GB2312" w:eastAsia="仿宋_GB2312" w:cs="仿宋_GB2312"/>
                <w:b/>
                <w:bCs/>
                <w:i w:val="0"/>
                <w:iCs w:val="0"/>
                <w:color w:val="000000"/>
                <w:sz w:val="18"/>
                <w:szCs w:val="18"/>
                <w:u w:val="none"/>
              </w:rPr>
            </w:pPr>
            <w:r>
              <w:rPr>
                <w:rFonts w:hint="eastAsia" w:ascii="仿宋_GB2312" w:hAnsi="仿宋_GB2312" w:cs="仿宋_GB2312"/>
                <w:b/>
                <w:bCs/>
                <w:i w:val="0"/>
                <w:iCs w:val="0"/>
                <w:color w:val="000000"/>
                <w:kern w:val="0"/>
                <w:sz w:val="18"/>
                <w:szCs w:val="18"/>
                <w:u w:val="none"/>
                <w:lang w:val="en-US" w:eastAsia="zh-CN" w:bidi="ar"/>
              </w:rPr>
              <w:t>规格/参数/要求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单位</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数量</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税率</w:t>
            </w:r>
          </w:p>
        </w:tc>
        <w:tc>
          <w:tcPr>
            <w:tcW w:w="513"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不含税单价（元）</w:t>
            </w:r>
          </w:p>
        </w:tc>
        <w:tc>
          <w:tcPr>
            <w:tcW w:w="455"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含税单价（元）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6.1</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道闸遥控功能模块</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富士</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适配现有设备</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台</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6.2</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道闸遥控器</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富士</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国标</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适配现有设备</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6.3</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地感线圈</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达实</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DAC DG01</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适配现有设备</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6.4</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软件加密狗</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富士</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FJC-Z613</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适配现有设备</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4031"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小计</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七、巡更系统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序号</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项目</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品牌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型号</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top"/>
              <w:rPr>
                <w:rFonts w:hint="eastAsia" w:ascii="仿宋_GB2312" w:hAnsi="仿宋_GB2312" w:eastAsia="仿宋_GB2312" w:cs="仿宋_GB2312"/>
                <w:b/>
                <w:bCs/>
                <w:i w:val="0"/>
                <w:iCs w:val="0"/>
                <w:color w:val="000000"/>
                <w:sz w:val="18"/>
                <w:szCs w:val="18"/>
                <w:u w:val="none"/>
              </w:rPr>
            </w:pPr>
            <w:r>
              <w:rPr>
                <w:rFonts w:hint="eastAsia" w:ascii="仿宋_GB2312" w:hAnsi="仿宋_GB2312" w:cs="仿宋_GB2312"/>
                <w:b/>
                <w:bCs/>
                <w:i w:val="0"/>
                <w:iCs w:val="0"/>
                <w:color w:val="000000"/>
                <w:kern w:val="0"/>
                <w:sz w:val="18"/>
                <w:szCs w:val="18"/>
                <w:u w:val="none"/>
                <w:lang w:val="en-US" w:eastAsia="zh-CN" w:bidi="ar"/>
              </w:rPr>
              <w:t>规格/参数/要求</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单位</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数量</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税率</w:t>
            </w:r>
          </w:p>
        </w:tc>
        <w:tc>
          <w:tcPr>
            <w:tcW w:w="513"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不含税单价（元）</w:t>
            </w:r>
          </w:p>
        </w:tc>
        <w:tc>
          <w:tcPr>
            <w:tcW w:w="455"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含税单价（元）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7.1</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地点钮</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蓝卡</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BLC-7-27</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7.2</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胶囊状信息钮</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蓝卡</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BLC-6-28</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7.3</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软件加密狗</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蓝卡</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适配系统</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7.4</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信息钮</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蓝卡</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BLC-22</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top"/>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钮扣状</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7.5</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巡检器</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蓝卡</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BP-2012S</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支</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7.6</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专用无线通讯座</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蓝卡</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BS-1000</w:t>
            </w:r>
          </w:p>
        </w:tc>
        <w:tc>
          <w:tcPr>
            <w:tcW w:w="1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仿宋_GB2312" w:hAnsi="仿宋_GB2312" w:eastAsia="仿宋_GB2312" w:cs="仿宋_GB2312"/>
                <w:i w:val="0"/>
                <w:iCs w:val="0"/>
                <w:color w:val="000000"/>
                <w:sz w:val="18"/>
                <w:szCs w:val="18"/>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个</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4031"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小计</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right"/>
              <w:rPr>
                <w:rFonts w:hint="eastAsia" w:ascii="仿宋_GB2312" w:hAnsi="仿宋_GB2312" w:eastAsia="仿宋_GB2312" w:cs="仿宋_GB2312"/>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18"/>
                <w:szCs w:val="18"/>
                <w:u w:val="none"/>
              </w:rPr>
            </w:pPr>
          </w:p>
        </w:tc>
      </w:tr>
    </w:tbl>
    <w:p>
      <w:pPr>
        <w:rPr>
          <w:rFonts w:hint="default"/>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sectPr>
      <w:footerReference r:id="rId3" w:type="default"/>
      <w:pgSz w:w="11907" w:h="16840"/>
      <w:pgMar w:top="1785" w:right="1134" w:bottom="1418" w:left="1134" w:header="724" w:footer="851" w:gutter="0"/>
      <w:cols w:space="720" w:num="1"/>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仿宋_GB2312">
    <w:altName w:val="仿宋"/>
    <w:panose1 w:val="02010609030101010101"/>
    <w:charset w:val="86"/>
    <w:family w:val="modern"/>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CA29A2"/>
    <w:multiLevelType w:val="singleLevel"/>
    <w:tmpl w:val="A9CA29A2"/>
    <w:lvl w:ilvl="0" w:tentative="0">
      <w:start w:val="6"/>
      <w:numFmt w:val="chineseCounting"/>
      <w:suff w:val="nothing"/>
      <w:lvlText w:val="%1、"/>
      <w:lvlJc w:val="left"/>
      <w:rPr>
        <w:rFonts w:hint="eastAsia"/>
      </w:rPr>
    </w:lvl>
  </w:abstractNum>
  <w:abstractNum w:abstractNumId="1">
    <w:nsid w:val="2FE7FA51"/>
    <w:multiLevelType w:val="singleLevel"/>
    <w:tmpl w:val="2FE7FA51"/>
    <w:lvl w:ilvl="0" w:tentative="0">
      <w:start w:val="1"/>
      <w:numFmt w:val="decimal"/>
      <w:lvlText w:val="%1."/>
      <w:lvlJc w:val="left"/>
      <w:pPr>
        <w:ind w:left="425" w:hanging="425"/>
      </w:pPr>
      <w:rPr>
        <w:rFonts w:hint="default"/>
      </w:rPr>
    </w:lvl>
  </w:abstractNum>
  <w:abstractNum w:abstractNumId="2">
    <w:nsid w:val="330F11BC"/>
    <w:multiLevelType w:val="multilevel"/>
    <w:tmpl w:val="330F11BC"/>
    <w:lvl w:ilvl="0" w:tentative="0">
      <w:start w:val="1"/>
      <w:numFmt w:val="decimal"/>
      <w:lvlText w:val="%1."/>
      <w:lvlJc w:val="left"/>
      <w:pPr>
        <w:ind w:left="0" w:firstLine="48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788718D0"/>
    <w:multiLevelType w:val="multilevel"/>
    <w:tmpl w:val="788718D0"/>
    <w:lvl w:ilvl="0" w:tentative="0">
      <w:start w:val="1"/>
      <w:numFmt w:val="decimal"/>
      <w:lvlText w:val="%1."/>
      <w:lvlJc w:val="left"/>
      <w:pPr>
        <w:ind w:left="0" w:firstLine="48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NmVkZTU3ODRjMTA4ZjM5NjhlNWU1YjA5NmRmMDkifQ=="/>
    <w:docVar w:name="KSO_WPS_MARK_KEY" w:val="41b0b8eb-08b9-4e2d-a6c4-35b552476e49"/>
  </w:docVars>
  <w:rsids>
    <w:rsidRoot w:val="00916CE5"/>
    <w:rsid w:val="00356C02"/>
    <w:rsid w:val="00470184"/>
    <w:rsid w:val="004A2696"/>
    <w:rsid w:val="005009DD"/>
    <w:rsid w:val="005711BE"/>
    <w:rsid w:val="006520C1"/>
    <w:rsid w:val="006A2745"/>
    <w:rsid w:val="00760336"/>
    <w:rsid w:val="00843979"/>
    <w:rsid w:val="0087349E"/>
    <w:rsid w:val="00877104"/>
    <w:rsid w:val="00916CE5"/>
    <w:rsid w:val="009414EF"/>
    <w:rsid w:val="00993505"/>
    <w:rsid w:val="00A11BE0"/>
    <w:rsid w:val="00A214D9"/>
    <w:rsid w:val="00A63269"/>
    <w:rsid w:val="00CA758E"/>
    <w:rsid w:val="00E06BCA"/>
    <w:rsid w:val="00E816F2"/>
    <w:rsid w:val="00EC331E"/>
    <w:rsid w:val="00F450D9"/>
    <w:rsid w:val="01166C95"/>
    <w:rsid w:val="011F1DC6"/>
    <w:rsid w:val="013C0B3F"/>
    <w:rsid w:val="01485C73"/>
    <w:rsid w:val="014F5AAD"/>
    <w:rsid w:val="0152103F"/>
    <w:rsid w:val="015F71CC"/>
    <w:rsid w:val="01737DB1"/>
    <w:rsid w:val="017D641F"/>
    <w:rsid w:val="01CF0311"/>
    <w:rsid w:val="01D95D61"/>
    <w:rsid w:val="01E56F8A"/>
    <w:rsid w:val="01F11C90"/>
    <w:rsid w:val="021A6F6D"/>
    <w:rsid w:val="02430A3A"/>
    <w:rsid w:val="027A0238"/>
    <w:rsid w:val="02867117"/>
    <w:rsid w:val="02C576EE"/>
    <w:rsid w:val="030E06E0"/>
    <w:rsid w:val="0321209B"/>
    <w:rsid w:val="033D3B89"/>
    <w:rsid w:val="035047B0"/>
    <w:rsid w:val="03551DD0"/>
    <w:rsid w:val="039170A4"/>
    <w:rsid w:val="03B362C3"/>
    <w:rsid w:val="03F66034"/>
    <w:rsid w:val="03FC5583"/>
    <w:rsid w:val="042B0C81"/>
    <w:rsid w:val="042D511D"/>
    <w:rsid w:val="045B1ACC"/>
    <w:rsid w:val="04677D93"/>
    <w:rsid w:val="04850B1A"/>
    <w:rsid w:val="04897F3C"/>
    <w:rsid w:val="049E3FB6"/>
    <w:rsid w:val="04EC7946"/>
    <w:rsid w:val="04F77803"/>
    <w:rsid w:val="05101F74"/>
    <w:rsid w:val="058B1AC3"/>
    <w:rsid w:val="058C2307"/>
    <w:rsid w:val="0594589E"/>
    <w:rsid w:val="05B70832"/>
    <w:rsid w:val="05C51827"/>
    <w:rsid w:val="05C95D9E"/>
    <w:rsid w:val="05CB47B2"/>
    <w:rsid w:val="05CC4F42"/>
    <w:rsid w:val="05E3129B"/>
    <w:rsid w:val="06156188"/>
    <w:rsid w:val="0632207E"/>
    <w:rsid w:val="06372CE7"/>
    <w:rsid w:val="06452E5F"/>
    <w:rsid w:val="06473470"/>
    <w:rsid w:val="06750C1C"/>
    <w:rsid w:val="069373D7"/>
    <w:rsid w:val="069F7BBC"/>
    <w:rsid w:val="06AD4091"/>
    <w:rsid w:val="06C23D3F"/>
    <w:rsid w:val="06CB5944"/>
    <w:rsid w:val="06D80291"/>
    <w:rsid w:val="06E360FE"/>
    <w:rsid w:val="07055297"/>
    <w:rsid w:val="07061D92"/>
    <w:rsid w:val="07455949"/>
    <w:rsid w:val="07774C54"/>
    <w:rsid w:val="0786088E"/>
    <w:rsid w:val="079E7ACE"/>
    <w:rsid w:val="07FA6F4A"/>
    <w:rsid w:val="080C5242"/>
    <w:rsid w:val="087C6931"/>
    <w:rsid w:val="08B616BF"/>
    <w:rsid w:val="08BE180B"/>
    <w:rsid w:val="08C963EC"/>
    <w:rsid w:val="090A0DCD"/>
    <w:rsid w:val="0921657F"/>
    <w:rsid w:val="0989368D"/>
    <w:rsid w:val="09944523"/>
    <w:rsid w:val="099A249B"/>
    <w:rsid w:val="09BC053D"/>
    <w:rsid w:val="09C9384F"/>
    <w:rsid w:val="09EC151F"/>
    <w:rsid w:val="0A00163D"/>
    <w:rsid w:val="0A007595"/>
    <w:rsid w:val="0A1075EC"/>
    <w:rsid w:val="0A205D02"/>
    <w:rsid w:val="0A324D03"/>
    <w:rsid w:val="0A394CDE"/>
    <w:rsid w:val="0A4C37E3"/>
    <w:rsid w:val="0A582401"/>
    <w:rsid w:val="0A773FAE"/>
    <w:rsid w:val="0A8B591F"/>
    <w:rsid w:val="0A96324F"/>
    <w:rsid w:val="0A9F2B0D"/>
    <w:rsid w:val="0AF16826"/>
    <w:rsid w:val="0B13231D"/>
    <w:rsid w:val="0B7B540D"/>
    <w:rsid w:val="0B8765FA"/>
    <w:rsid w:val="0B93037C"/>
    <w:rsid w:val="0BA56091"/>
    <w:rsid w:val="0BAA0D29"/>
    <w:rsid w:val="0BAA2FD9"/>
    <w:rsid w:val="0BAB1353"/>
    <w:rsid w:val="0BAD6ED0"/>
    <w:rsid w:val="0BE517C5"/>
    <w:rsid w:val="0C1A277E"/>
    <w:rsid w:val="0C4543F3"/>
    <w:rsid w:val="0C5016F0"/>
    <w:rsid w:val="0C683B6D"/>
    <w:rsid w:val="0C781DD9"/>
    <w:rsid w:val="0C7E4909"/>
    <w:rsid w:val="0C9547CE"/>
    <w:rsid w:val="0CE06F41"/>
    <w:rsid w:val="0CE231FD"/>
    <w:rsid w:val="0CF81B32"/>
    <w:rsid w:val="0D090365"/>
    <w:rsid w:val="0D5149D8"/>
    <w:rsid w:val="0DB472C8"/>
    <w:rsid w:val="0DB6616B"/>
    <w:rsid w:val="0DBE63F9"/>
    <w:rsid w:val="0DCD3DAC"/>
    <w:rsid w:val="0DEE19C9"/>
    <w:rsid w:val="0E1D2D21"/>
    <w:rsid w:val="0E206FA3"/>
    <w:rsid w:val="0E3A61CB"/>
    <w:rsid w:val="0E902EC5"/>
    <w:rsid w:val="0EAD47B6"/>
    <w:rsid w:val="0EC06128"/>
    <w:rsid w:val="0ECF2992"/>
    <w:rsid w:val="0EE66DBE"/>
    <w:rsid w:val="0F445BC9"/>
    <w:rsid w:val="0F5D7D32"/>
    <w:rsid w:val="0F611859"/>
    <w:rsid w:val="0F95265E"/>
    <w:rsid w:val="0FA878D7"/>
    <w:rsid w:val="0FC44A79"/>
    <w:rsid w:val="0FDE5BD7"/>
    <w:rsid w:val="108E2E5F"/>
    <w:rsid w:val="10A46ADD"/>
    <w:rsid w:val="10B07FBC"/>
    <w:rsid w:val="10B22DB4"/>
    <w:rsid w:val="10BB63F9"/>
    <w:rsid w:val="10D14B21"/>
    <w:rsid w:val="10FC3EED"/>
    <w:rsid w:val="11316437"/>
    <w:rsid w:val="11466BAC"/>
    <w:rsid w:val="11494A7C"/>
    <w:rsid w:val="11543C73"/>
    <w:rsid w:val="115C261C"/>
    <w:rsid w:val="117E0DB7"/>
    <w:rsid w:val="11BE3462"/>
    <w:rsid w:val="11CE741F"/>
    <w:rsid w:val="11DF6B90"/>
    <w:rsid w:val="11E95188"/>
    <w:rsid w:val="12043377"/>
    <w:rsid w:val="122A01D4"/>
    <w:rsid w:val="123E1350"/>
    <w:rsid w:val="124D1F61"/>
    <w:rsid w:val="1282601E"/>
    <w:rsid w:val="128471D7"/>
    <w:rsid w:val="12883B7D"/>
    <w:rsid w:val="12884005"/>
    <w:rsid w:val="128A3BFB"/>
    <w:rsid w:val="1298284D"/>
    <w:rsid w:val="12C6239C"/>
    <w:rsid w:val="12F37E34"/>
    <w:rsid w:val="130438D8"/>
    <w:rsid w:val="132A3853"/>
    <w:rsid w:val="133368D7"/>
    <w:rsid w:val="134E6CB5"/>
    <w:rsid w:val="13590083"/>
    <w:rsid w:val="136E4069"/>
    <w:rsid w:val="13893B8D"/>
    <w:rsid w:val="138C6366"/>
    <w:rsid w:val="13A22D16"/>
    <w:rsid w:val="13AF77B1"/>
    <w:rsid w:val="13B54B2A"/>
    <w:rsid w:val="13C431CD"/>
    <w:rsid w:val="13D22C45"/>
    <w:rsid w:val="14055612"/>
    <w:rsid w:val="140956BC"/>
    <w:rsid w:val="141726DB"/>
    <w:rsid w:val="142A7FBC"/>
    <w:rsid w:val="148277F4"/>
    <w:rsid w:val="14855709"/>
    <w:rsid w:val="149A5B82"/>
    <w:rsid w:val="149B3542"/>
    <w:rsid w:val="15150EB2"/>
    <w:rsid w:val="151F4D36"/>
    <w:rsid w:val="156F4136"/>
    <w:rsid w:val="15903A6A"/>
    <w:rsid w:val="1592304B"/>
    <w:rsid w:val="15A63F87"/>
    <w:rsid w:val="15B06C7D"/>
    <w:rsid w:val="15DA1992"/>
    <w:rsid w:val="162D57E6"/>
    <w:rsid w:val="165A3198"/>
    <w:rsid w:val="166C4A0B"/>
    <w:rsid w:val="167511EF"/>
    <w:rsid w:val="168D6A95"/>
    <w:rsid w:val="16D31338"/>
    <w:rsid w:val="171F7934"/>
    <w:rsid w:val="172C4063"/>
    <w:rsid w:val="176E2CC2"/>
    <w:rsid w:val="177479F8"/>
    <w:rsid w:val="177C467E"/>
    <w:rsid w:val="179725AC"/>
    <w:rsid w:val="179C2E23"/>
    <w:rsid w:val="179D6334"/>
    <w:rsid w:val="17A74B22"/>
    <w:rsid w:val="17A83D36"/>
    <w:rsid w:val="17C0162E"/>
    <w:rsid w:val="17F24D03"/>
    <w:rsid w:val="180010DB"/>
    <w:rsid w:val="180E1972"/>
    <w:rsid w:val="182757CA"/>
    <w:rsid w:val="1828005F"/>
    <w:rsid w:val="18915190"/>
    <w:rsid w:val="189734CA"/>
    <w:rsid w:val="18C77EB2"/>
    <w:rsid w:val="19011039"/>
    <w:rsid w:val="19477F8B"/>
    <w:rsid w:val="19A47AD5"/>
    <w:rsid w:val="19B94A26"/>
    <w:rsid w:val="19CD72A1"/>
    <w:rsid w:val="19CF28F6"/>
    <w:rsid w:val="19DD2D1D"/>
    <w:rsid w:val="19E07D11"/>
    <w:rsid w:val="19FD34AC"/>
    <w:rsid w:val="1A495133"/>
    <w:rsid w:val="1A660759"/>
    <w:rsid w:val="1A901560"/>
    <w:rsid w:val="1ABD5C29"/>
    <w:rsid w:val="1ADD144E"/>
    <w:rsid w:val="1AE2170B"/>
    <w:rsid w:val="1AEB60D1"/>
    <w:rsid w:val="1B1F3539"/>
    <w:rsid w:val="1B3C3FEA"/>
    <w:rsid w:val="1B727C2F"/>
    <w:rsid w:val="1B7B5C6D"/>
    <w:rsid w:val="1B910497"/>
    <w:rsid w:val="1BB77CBE"/>
    <w:rsid w:val="1BC16350"/>
    <w:rsid w:val="1BCA5513"/>
    <w:rsid w:val="1C0E6932"/>
    <w:rsid w:val="1C481A78"/>
    <w:rsid w:val="1C7677EC"/>
    <w:rsid w:val="1C863B48"/>
    <w:rsid w:val="1CC01258"/>
    <w:rsid w:val="1CCD734A"/>
    <w:rsid w:val="1CD23F3B"/>
    <w:rsid w:val="1CD66794"/>
    <w:rsid w:val="1D02751B"/>
    <w:rsid w:val="1D1D017C"/>
    <w:rsid w:val="1D504DF0"/>
    <w:rsid w:val="1D5A514B"/>
    <w:rsid w:val="1D827C8F"/>
    <w:rsid w:val="1D871500"/>
    <w:rsid w:val="1D8D292A"/>
    <w:rsid w:val="1DA9074D"/>
    <w:rsid w:val="1DAD667B"/>
    <w:rsid w:val="1DFD4B29"/>
    <w:rsid w:val="1E001244"/>
    <w:rsid w:val="1E011305"/>
    <w:rsid w:val="1E0119A6"/>
    <w:rsid w:val="1E0F58F4"/>
    <w:rsid w:val="1E102281"/>
    <w:rsid w:val="1E772EB3"/>
    <w:rsid w:val="1EDB08BD"/>
    <w:rsid w:val="1F0E77A0"/>
    <w:rsid w:val="1F225E40"/>
    <w:rsid w:val="1F2906CB"/>
    <w:rsid w:val="1F352285"/>
    <w:rsid w:val="1F36562C"/>
    <w:rsid w:val="1F6A1184"/>
    <w:rsid w:val="1F9035F1"/>
    <w:rsid w:val="1F967640"/>
    <w:rsid w:val="1FE36683"/>
    <w:rsid w:val="200E02AF"/>
    <w:rsid w:val="20103D85"/>
    <w:rsid w:val="2019728C"/>
    <w:rsid w:val="20384563"/>
    <w:rsid w:val="203D589B"/>
    <w:rsid w:val="20443548"/>
    <w:rsid w:val="2059310D"/>
    <w:rsid w:val="20661B8A"/>
    <w:rsid w:val="20977C80"/>
    <w:rsid w:val="20A17570"/>
    <w:rsid w:val="20A63DA2"/>
    <w:rsid w:val="20DF3446"/>
    <w:rsid w:val="20E5691C"/>
    <w:rsid w:val="211259BD"/>
    <w:rsid w:val="21332AC4"/>
    <w:rsid w:val="214D6FE2"/>
    <w:rsid w:val="214D7100"/>
    <w:rsid w:val="21C36F82"/>
    <w:rsid w:val="21C750A8"/>
    <w:rsid w:val="220A2BBD"/>
    <w:rsid w:val="222A25DF"/>
    <w:rsid w:val="22325237"/>
    <w:rsid w:val="227E5169"/>
    <w:rsid w:val="22893377"/>
    <w:rsid w:val="22AD1F79"/>
    <w:rsid w:val="22D22EFB"/>
    <w:rsid w:val="22E24176"/>
    <w:rsid w:val="22E472CE"/>
    <w:rsid w:val="22EA218C"/>
    <w:rsid w:val="231F394E"/>
    <w:rsid w:val="23295D65"/>
    <w:rsid w:val="232A4439"/>
    <w:rsid w:val="23944A89"/>
    <w:rsid w:val="239D6E59"/>
    <w:rsid w:val="23B17CDD"/>
    <w:rsid w:val="23B87A02"/>
    <w:rsid w:val="23BC1311"/>
    <w:rsid w:val="23C8029B"/>
    <w:rsid w:val="23E36E73"/>
    <w:rsid w:val="23E76743"/>
    <w:rsid w:val="23EB4008"/>
    <w:rsid w:val="23FA5EFD"/>
    <w:rsid w:val="240A14A6"/>
    <w:rsid w:val="24491923"/>
    <w:rsid w:val="24581139"/>
    <w:rsid w:val="24851F1B"/>
    <w:rsid w:val="248A42AD"/>
    <w:rsid w:val="248B6DF2"/>
    <w:rsid w:val="24A90013"/>
    <w:rsid w:val="24A9595D"/>
    <w:rsid w:val="24F22AF6"/>
    <w:rsid w:val="25BC55AC"/>
    <w:rsid w:val="25C13A59"/>
    <w:rsid w:val="25C45055"/>
    <w:rsid w:val="25EA4366"/>
    <w:rsid w:val="25EC4A6C"/>
    <w:rsid w:val="26171B62"/>
    <w:rsid w:val="262B3522"/>
    <w:rsid w:val="26377521"/>
    <w:rsid w:val="26905ED1"/>
    <w:rsid w:val="269177EA"/>
    <w:rsid w:val="26980C76"/>
    <w:rsid w:val="26992249"/>
    <w:rsid w:val="26AD722B"/>
    <w:rsid w:val="26B62FA2"/>
    <w:rsid w:val="26C808C5"/>
    <w:rsid w:val="26C9294F"/>
    <w:rsid w:val="26EB51BA"/>
    <w:rsid w:val="26F00190"/>
    <w:rsid w:val="27197423"/>
    <w:rsid w:val="276028AA"/>
    <w:rsid w:val="27627E15"/>
    <w:rsid w:val="2782511D"/>
    <w:rsid w:val="278E0B7E"/>
    <w:rsid w:val="27947F30"/>
    <w:rsid w:val="27AD0ACD"/>
    <w:rsid w:val="27B06267"/>
    <w:rsid w:val="27EF2B9B"/>
    <w:rsid w:val="280B4F5E"/>
    <w:rsid w:val="28173165"/>
    <w:rsid w:val="2820500B"/>
    <w:rsid w:val="284D0E33"/>
    <w:rsid w:val="28636837"/>
    <w:rsid w:val="286C5ADC"/>
    <w:rsid w:val="286D72D0"/>
    <w:rsid w:val="28792CBF"/>
    <w:rsid w:val="288B1452"/>
    <w:rsid w:val="288B6768"/>
    <w:rsid w:val="28971FAF"/>
    <w:rsid w:val="28AB3915"/>
    <w:rsid w:val="28D931D7"/>
    <w:rsid w:val="28DF26F6"/>
    <w:rsid w:val="28EA7C39"/>
    <w:rsid w:val="28F37E4D"/>
    <w:rsid w:val="291A3A6F"/>
    <w:rsid w:val="293A5EB3"/>
    <w:rsid w:val="293D4BEA"/>
    <w:rsid w:val="293F639E"/>
    <w:rsid w:val="29567E40"/>
    <w:rsid w:val="297C133D"/>
    <w:rsid w:val="29B4155F"/>
    <w:rsid w:val="29B57A7F"/>
    <w:rsid w:val="29CD437F"/>
    <w:rsid w:val="29EF226E"/>
    <w:rsid w:val="29FE16B0"/>
    <w:rsid w:val="2A0848D2"/>
    <w:rsid w:val="2A97421C"/>
    <w:rsid w:val="2A9C3EE4"/>
    <w:rsid w:val="2B08677D"/>
    <w:rsid w:val="2B14624C"/>
    <w:rsid w:val="2B347C7D"/>
    <w:rsid w:val="2B5234F3"/>
    <w:rsid w:val="2B7B5084"/>
    <w:rsid w:val="2B803084"/>
    <w:rsid w:val="2B8375EA"/>
    <w:rsid w:val="2B977783"/>
    <w:rsid w:val="2B9C7DA2"/>
    <w:rsid w:val="2BA56F5D"/>
    <w:rsid w:val="2BC31CE6"/>
    <w:rsid w:val="2BEF1DF8"/>
    <w:rsid w:val="2C257F0F"/>
    <w:rsid w:val="2C2C7D13"/>
    <w:rsid w:val="2C2E00F9"/>
    <w:rsid w:val="2C3640E2"/>
    <w:rsid w:val="2C8B7A2C"/>
    <w:rsid w:val="2C9E5D59"/>
    <w:rsid w:val="2CA13578"/>
    <w:rsid w:val="2CB069E3"/>
    <w:rsid w:val="2CBA0C24"/>
    <w:rsid w:val="2CCD2A9E"/>
    <w:rsid w:val="2CE64FBE"/>
    <w:rsid w:val="2CF13653"/>
    <w:rsid w:val="2D0718BE"/>
    <w:rsid w:val="2D103937"/>
    <w:rsid w:val="2D312AD6"/>
    <w:rsid w:val="2D647E48"/>
    <w:rsid w:val="2DAF148B"/>
    <w:rsid w:val="2DB71817"/>
    <w:rsid w:val="2DD26F41"/>
    <w:rsid w:val="2DF06D15"/>
    <w:rsid w:val="2E3B5812"/>
    <w:rsid w:val="2E4E266B"/>
    <w:rsid w:val="2E512AB4"/>
    <w:rsid w:val="2E541F33"/>
    <w:rsid w:val="2E697C11"/>
    <w:rsid w:val="2EA10DB5"/>
    <w:rsid w:val="2EA85053"/>
    <w:rsid w:val="2ED12B96"/>
    <w:rsid w:val="2EE6010C"/>
    <w:rsid w:val="2EEF71E2"/>
    <w:rsid w:val="2EF103D0"/>
    <w:rsid w:val="2F2C17FC"/>
    <w:rsid w:val="2F2D05F1"/>
    <w:rsid w:val="2F2E34F2"/>
    <w:rsid w:val="2F804F04"/>
    <w:rsid w:val="2FBB619C"/>
    <w:rsid w:val="2FC17532"/>
    <w:rsid w:val="2FD769C2"/>
    <w:rsid w:val="2FD81FDA"/>
    <w:rsid w:val="2FDF5BE6"/>
    <w:rsid w:val="2FFC4F00"/>
    <w:rsid w:val="30234B93"/>
    <w:rsid w:val="30251F4F"/>
    <w:rsid w:val="30461007"/>
    <w:rsid w:val="304948E2"/>
    <w:rsid w:val="30613954"/>
    <w:rsid w:val="309938B4"/>
    <w:rsid w:val="30A60621"/>
    <w:rsid w:val="30FE2F07"/>
    <w:rsid w:val="31157F8F"/>
    <w:rsid w:val="313171E4"/>
    <w:rsid w:val="31327E5A"/>
    <w:rsid w:val="314569A9"/>
    <w:rsid w:val="314D3E1F"/>
    <w:rsid w:val="315B2544"/>
    <w:rsid w:val="31736421"/>
    <w:rsid w:val="31862F8C"/>
    <w:rsid w:val="318E5501"/>
    <w:rsid w:val="319F4053"/>
    <w:rsid w:val="31B155E3"/>
    <w:rsid w:val="31B8521D"/>
    <w:rsid w:val="31E40EFA"/>
    <w:rsid w:val="31FA19F4"/>
    <w:rsid w:val="322849F3"/>
    <w:rsid w:val="324432F0"/>
    <w:rsid w:val="324B5626"/>
    <w:rsid w:val="32621F10"/>
    <w:rsid w:val="32696F4D"/>
    <w:rsid w:val="32706F43"/>
    <w:rsid w:val="32BD2D67"/>
    <w:rsid w:val="32D27273"/>
    <w:rsid w:val="32F5598A"/>
    <w:rsid w:val="330F4BAB"/>
    <w:rsid w:val="3370281C"/>
    <w:rsid w:val="339F6FD4"/>
    <w:rsid w:val="33A91856"/>
    <w:rsid w:val="33B41D11"/>
    <w:rsid w:val="34102FF4"/>
    <w:rsid w:val="34184083"/>
    <w:rsid w:val="343F3F8C"/>
    <w:rsid w:val="344F517F"/>
    <w:rsid w:val="34620A74"/>
    <w:rsid w:val="346B6A1C"/>
    <w:rsid w:val="34907D2D"/>
    <w:rsid w:val="349921D7"/>
    <w:rsid w:val="34A033CC"/>
    <w:rsid w:val="34A72074"/>
    <w:rsid w:val="34AA4A09"/>
    <w:rsid w:val="34C63D2A"/>
    <w:rsid w:val="34CC5F7F"/>
    <w:rsid w:val="34D25968"/>
    <w:rsid w:val="34DC3193"/>
    <w:rsid w:val="35356133"/>
    <w:rsid w:val="35620072"/>
    <w:rsid w:val="358F15D5"/>
    <w:rsid w:val="358F7437"/>
    <w:rsid w:val="35A20DE7"/>
    <w:rsid w:val="35B31BA4"/>
    <w:rsid w:val="35D23B48"/>
    <w:rsid w:val="35EA0426"/>
    <w:rsid w:val="36017B31"/>
    <w:rsid w:val="364D7CD1"/>
    <w:rsid w:val="366A0763"/>
    <w:rsid w:val="3685185E"/>
    <w:rsid w:val="369D3031"/>
    <w:rsid w:val="36BD38C2"/>
    <w:rsid w:val="36C76976"/>
    <w:rsid w:val="36CF0C24"/>
    <w:rsid w:val="36F92C0A"/>
    <w:rsid w:val="37482B3B"/>
    <w:rsid w:val="376B2A31"/>
    <w:rsid w:val="37976D58"/>
    <w:rsid w:val="37AB2280"/>
    <w:rsid w:val="37C36079"/>
    <w:rsid w:val="37FE461A"/>
    <w:rsid w:val="380E700A"/>
    <w:rsid w:val="38607671"/>
    <w:rsid w:val="38614E2F"/>
    <w:rsid w:val="388875C2"/>
    <w:rsid w:val="388E08DE"/>
    <w:rsid w:val="38AC6D27"/>
    <w:rsid w:val="38C25C15"/>
    <w:rsid w:val="38CF1B30"/>
    <w:rsid w:val="38CF5C98"/>
    <w:rsid w:val="38D41E81"/>
    <w:rsid w:val="38F43ED3"/>
    <w:rsid w:val="38FC08B0"/>
    <w:rsid w:val="39040FED"/>
    <w:rsid w:val="39065D66"/>
    <w:rsid w:val="39070DC1"/>
    <w:rsid w:val="391A3B62"/>
    <w:rsid w:val="394E43C3"/>
    <w:rsid w:val="396B6F45"/>
    <w:rsid w:val="39A65A15"/>
    <w:rsid w:val="39BA18C8"/>
    <w:rsid w:val="39C00388"/>
    <w:rsid w:val="39D25004"/>
    <w:rsid w:val="39E53579"/>
    <w:rsid w:val="3A0D1DE4"/>
    <w:rsid w:val="3A2008AD"/>
    <w:rsid w:val="3A43728F"/>
    <w:rsid w:val="3AB67019"/>
    <w:rsid w:val="3AD3091B"/>
    <w:rsid w:val="3AE66E5B"/>
    <w:rsid w:val="3AEB7D2B"/>
    <w:rsid w:val="3B0514AA"/>
    <w:rsid w:val="3B2261EF"/>
    <w:rsid w:val="3B3562F7"/>
    <w:rsid w:val="3BD45A30"/>
    <w:rsid w:val="3BE55161"/>
    <w:rsid w:val="3BEF71B4"/>
    <w:rsid w:val="3BF31472"/>
    <w:rsid w:val="3BF77614"/>
    <w:rsid w:val="3C233A1D"/>
    <w:rsid w:val="3C426566"/>
    <w:rsid w:val="3C5B38B3"/>
    <w:rsid w:val="3C644963"/>
    <w:rsid w:val="3C9B0058"/>
    <w:rsid w:val="3C9D7B9C"/>
    <w:rsid w:val="3CAA5E5A"/>
    <w:rsid w:val="3CBA618F"/>
    <w:rsid w:val="3CBE7FDF"/>
    <w:rsid w:val="3CF25715"/>
    <w:rsid w:val="3CF7575D"/>
    <w:rsid w:val="3D0E0308"/>
    <w:rsid w:val="3D2715DD"/>
    <w:rsid w:val="3D2A7E83"/>
    <w:rsid w:val="3D2D583D"/>
    <w:rsid w:val="3D2F3FBB"/>
    <w:rsid w:val="3D576FA5"/>
    <w:rsid w:val="3D6D27DA"/>
    <w:rsid w:val="3D7158C8"/>
    <w:rsid w:val="3D900117"/>
    <w:rsid w:val="3D9B1E4F"/>
    <w:rsid w:val="3DA57AF7"/>
    <w:rsid w:val="3DAC1949"/>
    <w:rsid w:val="3DC228E7"/>
    <w:rsid w:val="3E2717D5"/>
    <w:rsid w:val="3E4205ED"/>
    <w:rsid w:val="3E60513E"/>
    <w:rsid w:val="3E61114B"/>
    <w:rsid w:val="3E6A7887"/>
    <w:rsid w:val="3E996CEE"/>
    <w:rsid w:val="3EAC7101"/>
    <w:rsid w:val="3EB82EB4"/>
    <w:rsid w:val="3EEA498E"/>
    <w:rsid w:val="3F0A7EF3"/>
    <w:rsid w:val="3F461083"/>
    <w:rsid w:val="3F613B84"/>
    <w:rsid w:val="3F63274F"/>
    <w:rsid w:val="3F72359B"/>
    <w:rsid w:val="3F994EF3"/>
    <w:rsid w:val="3F9D07A8"/>
    <w:rsid w:val="3FA133B8"/>
    <w:rsid w:val="3FC71BD2"/>
    <w:rsid w:val="3FEA024B"/>
    <w:rsid w:val="40364580"/>
    <w:rsid w:val="4036765D"/>
    <w:rsid w:val="40557060"/>
    <w:rsid w:val="405C07BF"/>
    <w:rsid w:val="40740956"/>
    <w:rsid w:val="40760048"/>
    <w:rsid w:val="40786299"/>
    <w:rsid w:val="40911B4F"/>
    <w:rsid w:val="40A511B2"/>
    <w:rsid w:val="40B82B24"/>
    <w:rsid w:val="40E11DA1"/>
    <w:rsid w:val="4108030C"/>
    <w:rsid w:val="412A103C"/>
    <w:rsid w:val="412B64E0"/>
    <w:rsid w:val="41336402"/>
    <w:rsid w:val="41646CE8"/>
    <w:rsid w:val="416E3985"/>
    <w:rsid w:val="41AA30CA"/>
    <w:rsid w:val="41B6144A"/>
    <w:rsid w:val="41F61FEE"/>
    <w:rsid w:val="42455138"/>
    <w:rsid w:val="425A5A08"/>
    <w:rsid w:val="426B63C2"/>
    <w:rsid w:val="428A6ACC"/>
    <w:rsid w:val="42AE1D44"/>
    <w:rsid w:val="42FA19F1"/>
    <w:rsid w:val="430A0517"/>
    <w:rsid w:val="43524C66"/>
    <w:rsid w:val="43581F58"/>
    <w:rsid w:val="438B4519"/>
    <w:rsid w:val="4395525F"/>
    <w:rsid w:val="439745D0"/>
    <w:rsid w:val="43B4605E"/>
    <w:rsid w:val="43BA7621"/>
    <w:rsid w:val="43DB53F7"/>
    <w:rsid w:val="440D12C3"/>
    <w:rsid w:val="44116729"/>
    <w:rsid w:val="44116D2F"/>
    <w:rsid w:val="443F305D"/>
    <w:rsid w:val="444F4607"/>
    <w:rsid w:val="44672A19"/>
    <w:rsid w:val="446832F4"/>
    <w:rsid w:val="446D0FD6"/>
    <w:rsid w:val="44770965"/>
    <w:rsid w:val="448125DF"/>
    <w:rsid w:val="44A518CA"/>
    <w:rsid w:val="44EE43A5"/>
    <w:rsid w:val="44F7701C"/>
    <w:rsid w:val="45960A3A"/>
    <w:rsid w:val="45C85BDB"/>
    <w:rsid w:val="4606181A"/>
    <w:rsid w:val="46A135AD"/>
    <w:rsid w:val="46A76504"/>
    <w:rsid w:val="46AA3B6F"/>
    <w:rsid w:val="46B04273"/>
    <w:rsid w:val="46B262FC"/>
    <w:rsid w:val="46B32D3B"/>
    <w:rsid w:val="46C1797F"/>
    <w:rsid w:val="46DF2338"/>
    <w:rsid w:val="46EE70B9"/>
    <w:rsid w:val="46F27C5F"/>
    <w:rsid w:val="471A428F"/>
    <w:rsid w:val="475116B0"/>
    <w:rsid w:val="476166F0"/>
    <w:rsid w:val="47862A4F"/>
    <w:rsid w:val="47F206D6"/>
    <w:rsid w:val="48280692"/>
    <w:rsid w:val="48422A1C"/>
    <w:rsid w:val="485D6FC2"/>
    <w:rsid w:val="487C5973"/>
    <w:rsid w:val="487E5D2D"/>
    <w:rsid w:val="48A43F25"/>
    <w:rsid w:val="48B02F0C"/>
    <w:rsid w:val="48E1104E"/>
    <w:rsid w:val="48E547A8"/>
    <w:rsid w:val="48FF4106"/>
    <w:rsid w:val="493106FE"/>
    <w:rsid w:val="49471910"/>
    <w:rsid w:val="496722E9"/>
    <w:rsid w:val="496D6FEA"/>
    <w:rsid w:val="497B56C6"/>
    <w:rsid w:val="499F2961"/>
    <w:rsid w:val="49B047F0"/>
    <w:rsid w:val="49B37C97"/>
    <w:rsid w:val="49BC0856"/>
    <w:rsid w:val="4A0C0231"/>
    <w:rsid w:val="4A113D28"/>
    <w:rsid w:val="4A147F67"/>
    <w:rsid w:val="4A7B3E8F"/>
    <w:rsid w:val="4A821526"/>
    <w:rsid w:val="4A8C6F8A"/>
    <w:rsid w:val="4A9F0775"/>
    <w:rsid w:val="4AF43877"/>
    <w:rsid w:val="4AF93D1D"/>
    <w:rsid w:val="4AFE6EDF"/>
    <w:rsid w:val="4B1312C2"/>
    <w:rsid w:val="4B1743F0"/>
    <w:rsid w:val="4B1D7C94"/>
    <w:rsid w:val="4B331ECD"/>
    <w:rsid w:val="4B475B51"/>
    <w:rsid w:val="4B521111"/>
    <w:rsid w:val="4B5651D3"/>
    <w:rsid w:val="4B5C42CB"/>
    <w:rsid w:val="4B69541B"/>
    <w:rsid w:val="4B7C6CF6"/>
    <w:rsid w:val="4BA76438"/>
    <w:rsid w:val="4C3D1DA4"/>
    <w:rsid w:val="4C7107E7"/>
    <w:rsid w:val="4C7466C2"/>
    <w:rsid w:val="4C890D5D"/>
    <w:rsid w:val="4CA073C2"/>
    <w:rsid w:val="4CB766A3"/>
    <w:rsid w:val="4CCF0895"/>
    <w:rsid w:val="4CE650ED"/>
    <w:rsid w:val="4D05515F"/>
    <w:rsid w:val="4D146748"/>
    <w:rsid w:val="4D163C7D"/>
    <w:rsid w:val="4D54275B"/>
    <w:rsid w:val="4D673518"/>
    <w:rsid w:val="4D722D5A"/>
    <w:rsid w:val="4D8A37CE"/>
    <w:rsid w:val="4D9A5370"/>
    <w:rsid w:val="4DA35E9A"/>
    <w:rsid w:val="4DB33B90"/>
    <w:rsid w:val="4DEC6F04"/>
    <w:rsid w:val="4E0231AD"/>
    <w:rsid w:val="4E1C52D6"/>
    <w:rsid w:val="4E4B54AE"/>
    <w:rsid w:val="4E573A29"/>
    <w:rsid w:val="4E7611C1"/>
    <w:rsid w:val="4EA43DFF"/>
    <w:rsid w:val="4EBB4438"/>
    <w:rsid w:val="4ED51CCD"/>
    <w:rsid w:val="4F08406B"/>
    <w:rsid w:val="4F0A15CA"/>
    <w:rsid w:val="4F234BEB"/>
    <w:rsid w:val="4F507ACF"/>
    <w:rsid w:val="4F6D3FA2"/>
    <w:rsid w:val="4F760BC5"/>
    <w:rsid w:val="4F7C2D33"/>
    <w:rsid w:val="4F897632"/>
    <w:rsid w:val="4F8B35F4"/>
    <w:rsid w:val="4FAA77D5"/>
    <w:rsid w:val="4FB4058B"/>
    <w:rsid w:val="4FB96B7C"/>
    <w:rsid w:val="4FD9344E"/>
    <w:rsid w:val="50112CDC"/>
    <w:rsid w:val="50281519"/>
    <w:rsid w:val="502E4324"/>
    <w:rsid w:val="503374BB"/>
    <w:rsid w:val="50514367"/>
    <w:rsid w:val="50901651"/>
    <w:rsid w:val="50910D2F"/>
    <w:rsid w:val="50DA0E70"/>
    <w:rsid w:val="51317F06"/>
    <w:rsid w:val="51343A6A"/>
    <w:rsid w:val="514D41F8"/>
    <w:rsid w:val="51832BE5"/>
    <w:rsid w:val="51AA614C"/>
    <w:rsid w:val="52075301"/>
    <w:rsid w:val="521B6589"/>
    <w:rsid w:val="521E4068"/>
    <w:rsid w:val="52227A9B"/>
    <w:rsid w:val="52540EDC"/>
    <w:rsid w:val="52792C49"/>
    <w:rsid w:val="527C2A30"/>
    <w:rsid w:val="527E4850"/>
    <w:rsid w:val="529A6161"/>
    <w:rsid w:val="529E32D4"/>
    <w:rsid w:val="52A6638C"/>
    <w:rsid w:val="52D81B2D"/>
    <w:rsid w:val="52DF3679"/>
    <w:rsid w:val="52F9559B"/>
    <w:rsid w:val="53167249"/>
    <w:rsid w:val="532266E3"/>
    <w:rsid w:val="535D43FC"/>
    <w:rsid w:val="53751DF5"/>
    <w:rsid w:val="53E23488"/>
    <w:rsid w:val="53F046D7"/>
    <w:rsid w:val="54081C97"/>
    <w:rsid w:val="54253B98"/>
    <w:rsid w:val="5447024B"/>
    <w:rsid w:val="544852F2"/>
    <w:rsid w:val="54493C17"/>
    <w:rsid w:val="545578A3"/>
    <w:rsid w:val="547E1680"/>
    <w:rsid w:val="54984C26"/>
    <w:rsid w:val="54A569FC"/>
    <w:rsid w:val="54CE170A"/>
    <w:rsid w:val="54D76179"/>
    <w:rsid w:val="54F76178"/>
    <w:rsid w:val="55117E12"/>
    <w:rsid w:val="551B2029"/>
    <w:rsid w:val="555E4858"/>
    <w:rsid w:val="55851A30"/>
    <w:rsid w:val="559526C0"/>
    <w:rsid w:val="55B56F1E"/>
    <w:rsid w:val="55EA5EDC"/>
    <w:rsid w:val="5627559E"/>
    <w:rsid w:val="562F2062"/>
    <w:rsid w:val="563A4613"/>
    <w:rsid w:val="56600B4A"/>
    <w:rsid w:val="5676245E"/>
    <w:rsid w:val="568746D4"/>
    <w:rsid w:val="56955D91"/>
    <w:rsid w:val="569E0C40"/>
    <w:rsid w:val="56A97C04"/>
    <w:rsid w:val="56C13FC7"/>
    <w:rsid w:val="56E149E6"/>
    <w:rsid w:val="57002C87"/>
    <w:rsid w:val="570F22E9"/>
    <w:rsid w:val="571647D7"/>
    <w:rsid w:val="57173DBC"/>
    <w:rsid w:val="5718044D"/>
    <w:rsid w:val="572973C2"/>
    <w:rsid w:val="5730305D"/>
    <w:rsid w:val="576C7E71"/>
    <w:rsid w:val="57821080"/>
    <w:rsid w:val="57895EBC"/>
    <w:rsid w:val="57983D26"/>
    <w:rsid w:val="579904C7"/>
    <w:rsid w:val="579B3E77"/>
    <w:rsid w:val="57AF18FC"/>
    <w:rsid w:val="57BB234D"/>
    <w:rsid w:val="57C70183"/>
    <w:rsid w:val="57D73675"/>
    <w:rsid w:val="57DB2575"/>
    <w:rsid w:val="582664B4"/>
    <w:rsid w:val="58445B14"/>
    <w:rsid w:val="584E16AE"/>
    <w:rsid w:val="587046EB"/>
    <w:rsid w:val="58944C23"/>
    <w:rsid w:val="58AB65A0"/>
    <w:rsid w:val="58BF3703"/>
    <w:rsid w:val="58C63C6F"/>
    <w:rsid w:val="58E910E3"/>
    <w:rsid w:val="590845C6"/>
    <w:rsid w:val="591613C9"/>
    <w:rsid w:val="591959B6"/>
    <w:rsid w:val="592D237C"/>
    <w:rsid w:val="59421BC4"/>
    <w:rsid w:val="59786C52"/>
    <w:rsid w:val="598E3763"/>
    <w:rsid w:val="59B86280"/>
    <w:rsid w:val="59C45A83"/>
    <w:rsid w:val="59CD0962"/>
    <w:rsid w:val="59E35649"/>
    <w:rsid w:val="5A1B11BA"/>
    <w:rsid w:val="5A2D0B06"/>
    <w:rsid w:val="5A4671A7"/>
    <w:rsid w:val="5A5A5190"/>
    <w:rsid w:val="5A5E2F77"/>
    <w:rsid w:val="5A62321A"/>
    <w:rsid w:val="5A7D0359"/>
    <w:rsid w:val="5A8B1736"/>
    <w:rsid w:val="5A9079CB"/>
    <w:rsid w:val="5A950334"/>
    <w:rsid w:val="5A961BE5"/>
    <w:rsid w:val="5AE11C83"/>
    <w:rsid w:val="5AEC610F"/>
    <w:rsid w:val="5B400C07"/>
    <w:rsid w:val="5B9E767E"/>
    <w:rsid w:val="5BA94F43"/>
    <w:rsid w:val="5BAA4D47"/>
    <w:rsid w:val="5BAF39A5"/>
    <w:rsid w:val="5BC60EA8"/>
    <w:rsid w:val="5BCA35AA"/>
    <w:rsid w:val="5BCC16AD"/>
    <w:rsid w:val="5BFA5F99"/>
    <w:rsid w:val="5C080C60"/>
    <w:rsid w:val="5C0F7B78"/>
    <w:rsid w:val="5C250AFF"/>
    <w:rsid w:val="5C772B34"/>
    <w:rsid w:val="5C7C5501"/>
    <w:rsid w:val="5CB006CD"/>
    <w:rsid w:val="5CCC49D9"/>
    <w:rsid w:val="5CFD1FC2"/>
    <w:rsid w:val="5D085CA9"/>
    <w:rsid w:val="5D3F6EBB"/>
    <w:rsid w:val="5D5A37B2"/>
    <w:rsid w:val="5DA11C06"/>
    <w:rsid w:val="5DB2582E"/>
    <w:rsid w:val="5DDA3858"/>
    <w:rsid w:val="5DDF473F"/>
    <w:rsid w:val="5DFB07EC"/>
    <w:rsid w:val="5DFF6431"/>
    <w:rsid w:val="5E1E0AF5"/>
    <w:rsid w:val="5E555069"/>
    <w:rsid w:val="5E6D0F1F"/>
    <w:rsid w:val="5E7A0E6D"/>
    <w:rsid w:val="5E7F3949"/>
    <w:rsid w:val="5E8456F1"/>
    <w:rsid w:val="5E8A3C83"/>
    <w:rsid w:val="5E9558F1"/>
    <w:rsid w:val="5ED66E64"/>
    <w:rsid w:val="5EE95F0E"/>
    <w:rsid w:val="5EEF510E"/>
    <w:rsid w:val="5EF0375B"/>
    <w:rsid w:val="5F287B7B"/>
    <w:rsid w:val="5F3360FD"/>
    <w:rsid w:val="5F4A6FCA"/>
    <w:rsid w:val="5F6E6460"/>
    <w:rsid w:val="5F6F017C"/>
    <w:rsid w:val="5F752BE1"/>
    <w:rsid w:val="5F776E5C"/>
    <w:rsid w:val="5FD27077"/>
    <w:rsid w:val="5FE736DC"/>
    <w:rsid w:val="5FE96F59"/>
    <w:rsid w:val="5FEF5278"/>
    <w:rsid w:val="5FEF6B3C"/>
    <w:rsid w:val="60070FD2"/>
    <w:rsid w:val="60861C82"/>
    <w:rsid w:val="608963B2"/>
    <w:rsid w:val="60EB7DE1"/>
    <w:rsid w:val="611726E9"/>
    <w:rsid w:val="611B5A5E"/>
    <w:rsid w:val="611C610A"/>
    <w:rsid w:val="612E45AD"/>
    <w:rsid w:val="6134159A"/>
    <w:rsid w:val="613812CB"/>
    <w:rsid w:val="613B514C"/>
    <w:rsid w:val="61942F84"/>
    <w:rsid w:val="619621F7"/>
    <w:rsid w:val="61997433"/>
    <w:rsid w:val="61B67D74"/>
    <w:rsid w:val="61EE15FA"/>
    <w:rsid w:val="61F32127"/>
    <w:rsid w:val="620E2442"/>
    <w:rsid w:val="62245516"/>
    <w:rsid w:val="622C67A7"/>
    <w:rsid w:val="62600CDA"/>
    <w:rsid w:val="626471C8"/>
    <w:rsid w:val="627330D7"/>
    <w:rsid w:val="62B5660C"/>
    <w:rsid w:val="63067313"/>
    <w:rsid w:val="630E46C4"/>
    <w:rsid w:val="63182800"/>
    <w:rsid w:val="632D5FC8"/>
    <w:rsid w:val="6331798B"/>
    <w:rsid w:val="635E7320"/>
    <w:rsid w:val="638432BA"/>
    <w:rsid w:val="63B055A5"/>
    <w:rsid w:val="63B31FD7"/>
    <w:rsid w:val="63B337CA"/>
    <w:rsid w:val="63B709E2"/>
    <w:rsid w:val="63D963B2"/>
    <w:rsid w:val="63FC2547"/>
    <w:rsid w:val="6435569B"/>
    <w:rsid w:val="64356403"/>
    <w:rsid w:val="64863581"/>
    <w:rsid w:val="64881875"/>
    <w:rsid w:val="649919F1"/>
    <w:rsid w:val="64B26F0A"/>
    <w:rsid w:val="64DF39C6"/>
    <w:rsid w:val="64E21B21"/>
    <w:rsid w:val="64E31E13"/>
    <w:rsid w:val="64E9388D"/>
    <w:rsid w:val="64E9733B"/>
    <w:rsid w:val="65917CA5"/>
    <w:rsid w:val="65973EAB"/>
    <w:rsid w:val="65AD3ADA"/>
    <w:rsid w:val="65CB0EFD"/>
    <w:rsid w:val="65D3232E"/>
    <w:rsid w:val="65D87F1F"/>
    <w:rsid w:val="65F300ED"/>
    <w:rsid w:val="66123BBC"/>
    <w:rsid w:val="66237477"/>
    <w:rsid w:val="66346744"/>
    <w:rsid w:val="665B31AE"/>
    <w:rsid w:val="66685E9D"/>
    <w:rsid w:val="666E580C"/>
    <w:rsid w:val="66A347D4"/>
    <w:rsid w:val="66A84767"/>
    <w:rsid w:val="66AD16E6"/>
    <w:rsid w:val="66BD22D8"/>
    <w:rsid w:val="66ED2D08"/>
    <w:rsid w:val="67505540"/>
    <w:rsid w:val="677E51B5"/>
    <w:rsid w:val="678D4D8F"/>
    <w:rsid w:val="67AF473F"/>
    <w:rsid w:val="67B24695"/>
    <w:rsid w:val="68033137"/>
    <w:rsid w:val="680C24FE"/>
    <w:rsid w:val="682E6C62"/>
    <w:rsid w:val="684D242F"/>
    <w:rsid w:val="686152BF"/>
    <w:rsid w:val="686348BF"/>
    <w:rsid w:val="687A630C"/>
    <w:rsid w:val="68820873"/>
    <w:rsid w:val="68A13C86"/>
    <w:rsid w:val="68C24C2E"/>
    <w:rsid w:val="68C62305"/>
    <w:rsid w:val="68F82465"/>
    <w:rsid w:val="68FF5769"/>
    <w:rsid w:val="69104A5A"/>
    <w:rsid w:val="692C0215"/>
    <w:rsid w:val="694D4B33"/>
    <w:rsid w:val="696C4D02"/>
    <w:rsid w:val="69AA3FC1"/>
    <w:rsid w:val="69AF44B7"/>
    <w:rsid w:val="69B72C4E"/>
    <w:rsid w:val="69D63BFD"/>
    <w:rsid w:val="69DB0FEE"/>
    <w:rsid w:val="69DF59AF"/>
    <w:rsid w:val="6A07187A"/>
    <w:rsid w:val="6A28708D"/>
    <w:rsid w:val="6A314292"/>
    <w:rsid w:val="6A3F1C8A"/>
    <w:rsid w:val="6A62619E"/>
    <w:rsid w:val="6A737BCA"/>
    <w:rsid w:val="6A861BEE"/>
    <w:rsid w:val="6A8941A6"/>
    <w:rsid w:val="6A9073D5"/>
    <w:rsid w:val="6AAC1ADF"/>
    <w:rsid w:val="6AAD4A1A"/>
    <w:rsid w:val="6AC2481B"/>
    <w:rsid w:val="6ACA6213"/>
    <w:rsid w:val="6AEE0E4A"/>
    <w:rsid w:val="6AF22110"/>
    <w:rsid w:val="6B1E5F8C"/>
    <w:rsid w:val="6B424D62"/>
    <w:rsid w:val="6B68357E"/>
    <w:rsid w:val="6B7C6F7D"/>
    <w:rsid w:val="6BAA0691"/>
    <w:rsid w:val="6BB737B1"/>
    <w:rsid w:val="6BBF17BF"/>
    <w:rsid w:val="6BD1774C"/>
    <w:rsid w:val="6BE543B5"/>
    <w:rsid w:val="6BF376E6"/>
    <w:rsid w:val="6C100F92"/>
    <w:rsid w:val="6C2B044C"/>
    <w:rsid w:val="6C8861DE"/>
    <w:rsid w:val="6C9D31A6"/>
    <w:rsid w:val="6CA92B32"/>
    <w:rsid w:val="6CAF062F"/>
    <w:rsid w:val="6CC86F49"/>
    <w:rsid w:val="6CE22735"/>
    <w:rsid w:val="6CFD0576"/>
    <w:rsid w:val="6D11750A"/>
    <w:rsid w:val="6D1667D4"/>
    <w:rsid w:val="6D1E71CC"/>
    <w:rsid w:val="6D243C40"/>
    <w:rsid w:val="6D346790"/>
    <w:rsid w:val="6D4122BC"/>
    <w:rsid w:val="6D5F0774"/>
    <w:rsid w:val="6D762CF2"/>
    <w:rsid w:val="6D7A2742"/>
    <w:rsid w:val="6D901945"/>
    <w:rsid w:val="6DA914BF"/>
    <w:rsid w:val="6DE1108A"/>
    <w:rsid w:val="6DF5284E"/>
    <w:rsid w:val="6DFE603B"/>
    <w:rsid w:val="6E177D9D"/>
    <w:rsid w:val="6E1D7B3A"/>
    <w:rsid w:val="6E47356E"/>
    <w:rsid w:val="6E4F7DB5"/>
    <w:rsid w:val="6E5667F7"/>
    <w:rsid w:val="6E933F57"/>
    <w:rsid w:val="6EA14A13"/>
    <w:rsid w:val="6ECA5D83"/>
    <w:rsid w:val="6EDA112E"/>
    <w:rsid w:val="6F2432F6"/>
    <w:rsid w:val="6F271821"/>
    <w:rsid w:val="6F2741B2"/>
    <w:rsid w:val="6F3D1B9B"/>
    <w:rsid w:val="6F7769B9"/>
    <w:rsid w:val="6F7B2CAF"/>
    <w:rsid w:val="6F873A86"/>
    <w:rsid w:val="6F997850"/>
    <w:rsid w:val="6FA15389"/>
    <w:rsid w:val="70115EEA"/>
    <w:rsid w:val="701D1D7A"/>
    <w:rsid w:val="70267178"/>
    <w:rsid w:val="704F43FB"/>
    <w:rsid w:val="7053669E"/>
    <w:rsid w:val="7055385C"/>
    <w:rsid w:val="706C73A7"/>
    <w:rsid w:val="70742148"/>
    <w:rsid w:val="707822FD"/>
    <w:rsid w:val="709D5EB8"/>
    <w:rsid w:val="70B1096E"/>
    <w:rsid w:val="70B856BA"/>
    <w:rsid w:val="70C372F9"/>
    <w:rsid w:val="70CD5949"/>
    <w:rsid w:val="70D1221D"/>
    <w:rsid w:val="70D73C05"/>
    <w:rsid w:val="70FB3025"/>
    <w:rsid w:val="712F68B2"/>
    <w:rsid w:val="71506794"/>
    <w:rsid w:val="716E3BE6"/>
    <w:rsid w:val="717A440C"/>
    <w:rsid w:val="71A94D12"/>
    <w:rsid w:val="71DA0AD7"/>
    <w:rsid w:val="72021289"/>
    <w:rsid w:val="721142C3"/>
    <w:rsid w:val="721657D0"/>
    <w:rsid w:val="722C5458"/>
    <w:rsid w:val="725A281E"/>
    <w:rsid w:val="725B2606"/>
    <w:rsid w:val="72840123"/>
    <w:rsid w:val="72C85446"/>
    <w:rsid w:val="731D2B0F"/>
    <w:rsid w:val="73204D5A"/>
    <w:rsid w:val="73345E90"/>
    <w:rsid w:val="735C0F53"/>
    <w:rsid w:val="735F6519"/>
    <w:rsid w:val="737E0F66"/>
    <w:rsid w:val="73B00CA3"/>
    <w:rsid w:val="73E90F4B"/>
    <w:rsid w:val="740B7DB4"/>
    <w:rsid w:val="742E3D52"/>
    <w:rsid w:val="74323750"/>
    <w:rsid w:val="744F3CE2"/>
    <w:rsid w:val="74741BD2"/>
    <w:rsid w:val="747756B0"/>
    <w:rsid w:val="747E3EFE"/>
    <w:rsid w:val="74A777C2"/>
    <w:rsid w:val="74CA1618"/>
    <w:rsid w:val="74CD67FC"/>
    <w:rsid w:val="755C270F"/>
    <w:rsid w:val="756016DD"/>
    <w:rsid w:val="75640142"/>
    <w:rsid w:val="756B6B49"/>
    <w:rsid w:val="757B5E44"/>
    <w:rsid w:val="75BC6F5B"/>
    <w:rsid w:val="75D54069"/>
    <w:rsid w:val="75E30A5C"/>
    <w:rsid w:val="75E73F35"/>
    <w:rsid w:val="75EF3920"/>
    <w:rsid w:val="75F90701"/>
    <w:rsid w:val="75FB0CE4"/>
    <w:rsid w:val="76345942"/>
    <w:rsid w:val="764B2074"/>
    <w:rsid w:val="766363D9"/>
    <w:rsid w:val="76723847"/>
    <w:rsid w:val="76933645"/>
    <w:rsid w:val="769C42F8"/>
    <w:rsid w:val="76A15C33"/>
    <w:rsid w:val="76F8038F"/>
    <w:rsid w:val="76FA4F71"/>
    <w:rsid w:val="771C541E"/>
    <w:rsid w:val="77281904"/>
    <w:rsid w:val="77530BF6"/>
    <w:rsid w:val="776923CA"/>
    <w:rsid w:val="777B2069"/>
    <w:rsid w:val="77AB3122"/>
    <w:rsid w:val="77EE64A3"/>
    <w:rsid w:val="77FA7D19"/>
    <w:rsid w:val="780C3851"/>
    <w:rsid w:val="780F6F89"/>
    <w:rsid w:val="78163C39"/>
    <w:rsid w:val="78172C4C"/>
    <w:rsid w:val="78475BB3"/>
    <w:rsid w:val="784B3CC0"/>
    <w:rsid w:val="78782779"/>
    <w:rsid w:val="787A0C15"/>
    <w:rsid w:val="78AB1FD4"/>
    <w:rsid w:val="78B87E20"/>
    <w:rsid w:val="78DF6839"/>
    <w:rsid w:val="78F42DB0"/>
    <w:rsid w:val="78FE7212"/>
    <w:rsid w:val="79091C23"/>
    <w:rsid w:val="792F7319"/>
    <w:rsid w:val="793B7736"/>
    <w:rsid w:val="7953536D"/>
    <w:rsid w:val="796A3744"/>
    <w:rsid w:val="79842D1A"/>
    <w:rsid w:val="79A13949"/>
    <w:rsid w:val="79C719B6"/>
    <w:rsid w:val="79CA145B"/>
    <w:rsid w:val="79F348CC"/>
    <w:rsid w:val="79F565EF"/>
    <w:rsid w:val="7A194201"/>
    <w:rsid w:val="7A1C1031"/>
    <w:rsid w:val="7A3A2F11"/>
    <w:rsid w:val="7A4C1249"/>
    <w:rsid w:val="7A84540E"/>
    <w:rsid w:val="7A8B1C09"/>
    <w:rsid w:val="7A9B1F00"/>
    <w:rsid w:val="7AF1003A"/>
    <w:rsid w:val="7B2E3A23"/>
    <w:rsid w:val="7B4521E8"/>
    <w:rsid w:val="7B6F48DB"/>
    <w:rsid w:val="7B846935"/>
    <w:rsid w:val="7B9015E2"/>
    <w:rsid w:val="7BBB2A13"/>
    <w:rsid w:val="7BBB3985"/>
    <w:rsid w:val="7BCE7BD3"/>
    <w:rsid w:val="7BE010BF"/>
    <w:rsid w:val="7BE51C81"/>
    <w:rsid w:val="7BF07955"/>
    <w:rsid w:val="7C0278C3"/>
    <w:rsid w:val="7C2B6C3E"/>
    <w:rsid w:val="7C561196"/>
    <w:rsid w:val="7C6854BC"/>
    <w:rsid w:val="7C9B0A8C"/>
    <w:rsid w:val="7CD7092F"/>
    <w:rsid w:val="7D0B1C5C"/>
    <w:rsid w:val="7D846F27"/>
    <w:rsid w:val="7D861899"/>
    <w:rsid w:val="7DB43768"/>
    <w:rsid w:val="7DBB2D1A"/>
    <w:rsid w:val="7DBE68C0"/>
    <w:rsid w:val="7DD859A7"/>
    <w:rsid w:val="7DE01DB8"/>
    <w:rsid w:val="7DF05996"/>
    <w:rsid w:val="7E0B135F"/>
    <w:rsid w:val="7EA132CC"/>
    <w:rsid w:val="7EA742E5"/>
    <w:rsid w:val="7EB32812"/>
    <w:rsid w:val="7EC458C7"/>
    <w:rsid w:val="7EC5278D"/>
    <w:rsid w:val="7EDB18A0"/>
    <w:rsid w:val="7EE5552F"/>
    <w:rsid w:val="7F0948D8"/>
    <w:rsid w:val="7F1D65ED"/>
    <w:rsid w:val="7F4A4EF7"/>
    <w:rsid w:val="7F5A4B88"/>
    <w:rsid w:val="7F62122D"/>
    <w:rsid w:val="7F853A06"/>
    <w:rsid w:val="7FB928E6"/>
    <w:rsid w:val="7FBC0717"/>
    <w:rsid w:val="7FBD4FDC"/>
    <w:rsid w:val="7FC66B18"/>
    <w:rsid w:val="7FD072F9"/>
    <w:rsid w:val="7FE10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9"/>
    <w:pPr>
      <w:tabs>
        <w:tab w:val="right" w:leader="dot" w:pos="9061"/>
      </w:tabs>
      <w:jc w:val="center"/>
      <w:outlineLvl w:val="0"/>
    </w:pPr>
    <w:rPr>
      <w:b/>
      <w:sz w:val="36"/>
    </w:rPr>
  </w:style>
  <w:style w:type="paragraph" w:styleId="3">
    <w:name w:val="heading 2"/>
    <w:basedOn w:val="1"/>
    <w:next w:val="1"/>
    <w:link w:val="24"/>
    <w:unhideWhenUsed/>
    <w:qFormat/>
    <w:uiPriority w:val="0"/>
    <w:pPr>
      <w:keepNext/>
      <w:keepLines/>
      <w:spacing w:line="360" w:lineRule="auto"/>
      <w:outlineLvl w:val="1"/>
    </w:pPr>
    <w:rPr>
      <w:rFonts w:asciiTheme="majorHAnsi" w:hAnsiTheme="majorHAnsi" w:eastAsiaTheme="majorEastAsia" w:cstheme="majorBidi"/>
      <w:b/>
      <w:bCs/>
      <w:sz w:val="24"/>
      <w:szCs w:val="32"/>
    </w:rPr>
  </w:style>
  <w:style w:type="paragraph" w:styleId="4">
    <w:name w:val="heading 3"/>
    <w:basedOn w:val="1"/>
    <w:next w:val="1"/>
    <w:qFormat/>
    <w:uiPriority w:val="99"/>
    <w:pPr>
      <w:keepNext/>
      <w:keepLines/>
      <w:spacing w:before="260" w:after="260" w:line="416" w:lineRule="auto"/>
      <w:outlineLvl w:val="2"/>
    </w:pPr>
    <w:rPr>
      <w:b/>
      <w:bCs/>
      <w:kern w:val="0"/>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1"/>
    <w:rPr>
      <w:sz w:val="28"/>
      <w:szCs w:val="28"/>
    </w:rPr>
  </w:style>
  <w:style w:type="paragraph" w:customStyle="1" w:styleId="6">
    <w:name w:val="一级条标题"/>
    <w:basedOn w:val="7"/>
    <w:next w:val="8"/>
    <w:qFormat/>
    <w:uiPriority w:val="0"/>
    <w:pPr>
      <w:tabs>
        <w:tab w:val="left" w:pos="360"/>
        <w:tab w:val="left" w:pos="840"/>
      </w:tabs>
      <w:ind w:hanging="840"/>
    </w:pPr>
  </w:style>
  <w:style w:type="paragraph" w:customStyle="1" w:styleId="7">
    <w:name w:val="章标题"/>
    <w:next w:val="1"/>
    <w:qFormat/>
    <w:uiPriority w:val="0"/>
    <w:pPr>
      <w:spacing w:before="156" w:beforeLines="50" w:after="156" w:afterLines="50"/>
      <w:jc w:val="both"/>
      <w:outlineLvl w:val="1"/>
    </w:pPr>
    <w:rPr>
      <w:rFonts w:ascii="黑体" w:hAnsi="Times New Roman" w:eastAsia="黑体" w:cs="Times New Roman"/>
      <w:sz w:val="24"/>
      <w:lang w:val="en-US" w:eastAsia="zh-CN" w:bidi="ar-SA"/>
    </w:rPr>
  </w:style>
  <w:style w:type="paragraph" w:customStyle="1" w:styleId="8">
    <w:name w:val="段"/>
    <w:next w:val="1"/>
    <w:qFormat/>
    <w:uiPriority w:val="0"/>
    <w:pPr>
      <w:autoSpaceDE w:val="0"/>
      <w:autoSpaceDN w:val="0"/>
      <w:ind w:firstLine="200" w:firstLineChars="200"/>
      <w:jc w:val="both"/>
    </w:pPr>
    <w:rPr>
      <w:rFonts w:ascii="??" w:hAnsi="??" w:eastAsia="??" w:cs="宋体"/>
      <w:color w:val="000000"/>
      <w:szCs w:val="28"/>
      <w:lang w:val="en-US" w:eastAsia="zh-CN" w:bidi="ar-SA"/>
    </w:rPr>
  </w:style>
  <w:style w:type="paragraph" w:styleId="9">
    <w:name w:val="footer"/>
    <w:basedOn w:val="1"/>
    <w:qFormat/>
    <w:uiPriority w:val="99"/>
    <w:pPr>
      <w:tabs>
        <w:tab w:val="center" w:pos="4153"/>
        <w:tab w:val="right" w:pos="8306"/>
      </w:tabs>
      <w:snapToGrid w:val="0"/>
      <w:jc w:val="left"/>
    </w:pPr>
    <w:rPr>
      <w:kern w:val="0"/>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20" w:after="120"/>
      <w:jc w:val="left"/>
    </w:pPr>
    <w:rPr>
      <w:b/>
      <w:bCs/>
      <w:caps/>
      <w:sz w:val="24"/>
      <w:szCs w:val="20"/>
    </w:rPr>
  </w:style>
  <w:style w:type="paragraph" w:styleId="12">
    <w:name w:val="toc 2"/>
    <w:basedOn w:val="1"/>
    <w:next w:val="1"/>
    <w:unhideWhenUsed/>
    <w:qFormat/>
    <w:uiPriority w:val="39"/>
    <w:pPr>
      <w:ind w:left="420" w:leftChars="200"/>
    </w:pPr>
  </w:style>
  <w:style w:type="paragraph" w:styleId="13">
    <w:name w:val="Normal (Web)"/>
    <w:basedOn w:val="1"/>
    <w:semiHidden/>
    <w:unhideWhenUsed/>
    <w:qFormat/>
    <w:uiPriority w:val="99"/>
    <w:pPr>
      <w:spacing w:beforeAutospacing="1" w:afterAutospacing="1"/>
      <w:jc w:val="left"/>
    </w:pPr>
    <w:rPr>
      <w:kern w:val="0"/>
    </w:rPr>
  </w:style>
  <w:style w:type="paragraph" w:styleId="14">
    <w:name w:val="Title"/>
    <w:basedOn w:val="1"/>
    <w:next w:val="1"/>
    <w:qFormat/>
    <w:uiPriority w:val="0"/>
    <w:pPr>
      <w:spacing w:line="480" w:lineRule="auto"/>
      <w:jc w:val="center"/>
      <w:outlineLvl w:val="0"/>
    </w:pPr>
    <w:rPr>
      <w:rFonts w:ascii="Cambria" w:hAnsi="Cambria"/>
      <w:b/>
      <w:bCs/>
      <w:kern w:val="0"/>
      <w:sz w:val="36"/>
      <w:szCs w:val="32"/>
    </w:rPr>
  </w:style>
  <w:style w:type="table" w:styleId="16">
    <w:name w:val="Table Grid"/>
    <w:basedOn w:val="15"/>
    <w:qFormat/>
    <w:uiPriority w:val="59"/>
    <w:pPr>
      <w:widowControl w:val="0"/>
      <w:spacing w:after="200" w:line="276" w:lineRule="auto"/>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qFormat/>
    <w:uiPriority w:val="99"/>
    <w:rPr>
      <w:rFonts w:cs="Times New Roman"/>
      <w:color w:val="1F4F88"/>
      <w:u w:val="none"/>
    </w:rPr>
  </w:style>
  <w:style w:type="paragraph" w:customStyle="1" w:styleId="20">
    <w:name w:val="Table Paragraph"/>
    <w:basedOn w:val="1"/>
    <w:qFormat/>
    <w:uiPriority w:val="1"/>
  </w:style>
  <w:style w:type="table" w:customStyle="1" w:styleId="21">
    <w:name w:val="Table Normal"/>
    <w:semiHidden/>
    <w:unhideWhenUsed/>
    <w:qFormat/>
    <w:uiPriority w:val="2"/>
    <w:tblPr>
      <w:tblCellMar>
        <w:top w:w="0" w:type="dxa"/>
        <w:left w:w="0" w:type="dxa"/>
        <w:bottom w:w="0" w:type="dxa"/>
        <w:right w:w="0" w:type="dxa"/>
      </w:tblCellMar>
    </w:tblPr>
  </w:style>
  <w:style w:type="paragraph" w:customStyle="1" w:styleId="22">
    <w:name w:val="潍柴文档正文"/>
    <w:basedOn w:val="1"/>
    <w:qFormat/>
    <w:uiPriority w:val="0"/>
    <w:pPr>
      <w:spacing w:line="360" w:lineRule="auto"/>
      <w:ind w:firstLine="200" w:firstLineChars="200"/>
    </w:pPr>
    <w:rPr>
      <w:sz w:val="24"/>
      <w:szCs w:val="22"/>
    </w:rPr>
  </w:style>
  <w:style w:type="paragraph" w:customStyle="1" w:styleId="23">
    <w:name w:val="1正文段落"/>
    <w:basedOn w:val="1"/>
    <w:qFormat/>
    <w:uiPriority w:val="0"/>
    <w:pPr>
      <w:spacing w:line="360" w:lineRule="auto"/>
      <w:ind w:firstLine="480" w:firstLineChars="200"/>
      <w:jc w:val="left"/>
    </w:pPr>
    <w:rPr>
      <w:snapToGrid w:val="0"/>
      <w:kern w:val="0"/>
      <w:sz w:val="24"/>
      <w:szCs w:val="24"/>
    </w:rPr>
  </w:style>
  <w:style w:type="character" w:customStyle="1" w:styleId="24">
    <w:name w:val="标题 2 Char"/>
    <w:basedOn w:val="17"/>
    <w:link w:val="3"/>
    <w:qFormat/>
    <w:uiPriority w:val="0"/>
    <w:rPr>
      <w:rFonts w:asciiTheme="majorHAnsi" w:hAnsiTheme="majorHAnsi" w:eastAsiaTheme="majorEastAsia" w:cstheme="majorBidi"/>
      <w:b/>
      <w:bCs/>
      <w:kern w:val="2"/>
      <w:sz w:val="24"/>
      <w:szCs w:val="32"/>
    </w:rPr>
  </w:style>
  <w:style w:type="character" w:customStyle="1" w:styleId="25">
    <w:name w:val="font51"/>
    <w:basedOn w:val="17"/>
    <w:qFormat/>
    <w:uiPriority w:val="0"/>
    <w:rPr>
      <w:rFonts w:hint="eastAsia" w:ascii="微软雅黑" w:hAnsi="微软雅黑" w:eastAsia="微软雅黑" w:cs="微软雅黑"/>
      <w:color w:val="000000"/>
      <w:sz w:val="16"/>
      <w:szCs w:val="16"/>
      <w:u w:val="none"/>
    </w:rPr>
  </w:style>
  <w:style w:type="paragraph" w:customStyle="1" w:styleId="26">
    <w:name w:val="TOC 标题1"/>
    <w:basedOn w:val="2"/>
    <w:next w:val="1"/>
    <w:unhideWhenUsed/>
    <w:qFormat/>
    <w:uiPriority w:val="39"/>
    <w:pPr>
      <w:widowControl/>
      <w:numPr>
        <w:ilvl w:val="0"/>
        <w:numId w:val="0"/>
      </w:numPr>
      <w:spacing w:after="0" w:line="259" w:lineRule="auto"/>
      <w:jc w:val="left"/>
      <w:outlineLvl w:val="9"/>
    </w:pPr>
    <w:rPr>
      <w:rFonts w:asciiTheme="majorHAnsi" w:hAnsiTheme="majorHAnsi" w:eastAsiaTheme="majorEastAsia" w:cstheme="majorBidi"/>
      <w:b w:val="0"/>
      <w:color w:val="2E54A1" w:themeColor="accent1" w:themeShade="BF"/>
      <w:kern w:val="0"/>
      <w:szCs w:val="32"/>
    </w:rPr>
  </w:style>
  <w:style w:type="character" w:customStyle="1" w:styleId="27">
    <w:name w:val="font41"/>
    <w:basedOn w:val="17"/>
    <w:qFormat/>
    <w:uiPriority w:val="0"/>
    <w:rPr>
      <w:rFonts w:hint="eastAsia" w:ascii="微软雅黑" w:hAnsi="微软雅黑" w:eastAsia="微软雅黑" w:cs="微软雅黑"/>
      <w:color w:val="000000"/>
      <w:sz w:val="16"/>
      <w:szCs w:val="16"/>
      <w:u w:val="none"/>
    </w:rPr>
  </w:style>
  <w:style w:type="character" w:customStyle="1" w:styleId="28">
    <w:name w:val="font01"/>
    <w:basedOn w:val="17"/>
    <w:qFormat/>
    <w:uiPriority w:val="0"/>
    <w:rPr>
      <w:rFonts w:ascii="Arial" w:hAnsi="Arial" w:cs="Arial"/>
      <w:color w:val="000000"/>
      <w:sz w:val="16"/>
      <w:szCs w:val="16"/>
      <w:u w:val="none"/>
    </w:rPr>
  </w:style>
  <w:style w:type="paragraph" w:styleId="29">
    <w:name w:val="List Paragraph"/>
    <w:basedOn w:val="1"/>
    <w:qFormat/>
    <w:uiPriority w:val="99"/>
    <w:pPr>
      <w:ind w:firstLine="420"/>
    </w:pPr>
  </w:style>
  <w:style w:type="paragraph" w:customStyle="1" w:styleId="30">
    <w:name w:val="TOC Heading"/>
    <w:basedOn w:val="2"/>
    <w:next w:val="1"/>
    <w:unhideWhenUsed/>
    <w:qFormat/>
    <w:uiPriority w:val="39"/>
    <w:pPr>
      <w:widowControl/>
      <w:numPr>
        <w:ilvl w:val="0"/>
        <w:numId w:val="0"/>
      </w:numPr>
      <w:spacing w:after="0" w:line="259" w:lineRule="auto"/>
      <w:jc w:val="left"/>
      <w:outlineLvl w:val="9"/>
    </w:pPr>
    <w:rPr>
      <w:rFonts w:asciiTheme="majorHAnsi" w:hAnsiTheme="majorHAnsi" w:eastAsiaTheme="majorEastAsia" w:cstheme="majorBidi"/>
      <w:b w:val="0"/>
      <w:color w:val="2E54A1" w:themeColor="accent1" w:themeShade="BF"/>
      <w:kern w:val="0"/>
      <w:szCs w:val="32"/>
    </w:rPr>
  </w:style>
  <w:style w:type="character" w:customStyle="1" w:styleId="31">
    <w:name w:val="font31"/>
    <w:basedOn w:val="17"/>
    <w:qFormat/>
    <w:uiPriority w:val="0"/>
    <w:rPr>
      <w:rFonts w:hint="eastAsia" w:ascii="仿宋" w:hAnsi="仿宋" w:eastAsia="仿宋" w:cs="仿宋"/>
      <w:color w:val="000000"/>
      <w:sz w:val="20"/>
      <w:szCs w:val="20"/>
      <w:u w:val="none"/>
    </w:rPr>
  </w:style>
  <w:style w:type="character" w:customStyle="1" w:styleId="32">
    <w:name w:val="font61"/>
    <w:basedOn w:val="17"/>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9323</Words>
  <Characters>11060</Characters>
  <Lines>35</Lines>
  <Paragraphs>9</Paragraphs>
  <TotalTime>7</TotalTime>
  <ScaleCrop>false</ScaleCrop>
  <LinksUpToDate>false</LinksUpToDate>
  <CharactersWithSpaces>11891</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2023-03-06T05:01:00Z</dcterms:created>
  <dc:creator>SK</dc:creator>
  <cp:lastModifiedBy>3019js11502355</cp:lastModifiedBy>
  <dcterms:modified xsi:type="dcterms:W3CDTF">2025-04-22T05:38:32Z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984A8D1CF9C14A6B85ACF8F4C2578EE5_13</vt:lpwstr>
  </property>
</Properties>
</file>